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42" w:rsidRDefault="00235B1B" w:rsidP="00BD3C2D">
      <w:pPr>
        <w:jc w:val="both"/>
        <w:rPr>
          <w:noProof/>
        </w:rPr>
      </w:pPr>
      <w:r>
        <w:rPr>
          <w:noProof/>
        </w:rPr>
        <w:pict>
          <v:shapetype id="_x0000_t202" coordsize="21600,21600" o:spt="202" path="m,l,21600r21600,l21600,xe">
            <v:stroke joinstyle="miter"/>
            <v:path gradientshapeok="t" o:connecttype="rect"/>
          </v:shapetype>
          <v:shape id="_x0000_s1168" type="#_x0000_t202" style="position:absolute;left:0;text-align:left;margin-left:200pt;margin-top:248pt;width:7.2pt;height:7.2pt;z-index:251650560;visibility:hidden;mso-position-horizontal-relative:page;mso-position-vertical-relative:page" filled="f" stroked="f">
            <v:textbox style="mso-next-textbox:#_x0000_s1168" inset="0,0,0,0">
              <w:txbxContent>
                <w:p w:rsidR="00991400" w:rsidRDefault="00991400" w:rsidP="000B49FE">
                  <w:pPr>
                    <w:pStyle w:val="BodyText"/>
                  </w:pPr>
                </w:p>
              </w:txbxContent>
            </v:textbox>
            <w10:wrap anchorx="page" anchory="page"/>
          </v:shape>
        </w:pict>
      </w:r>
      <w:r>
        <w:rPr>
          <w:noProof/>
        </w:rPr>
        <w:pict>
          <v:line id="_x0000_s1286" style="position:absolute;left:0;text-align:left;z-index:251683328;mso-position-horizontal-relative:page;mso-position-vertical-relative:page" from="37.5pt,129pt" to="573.75pt,129pt" stroked="f">
            <w10:wrap anchorx="page" anchory="page"/>
          </v:line>
        </w:pict>
      </w:r>
      <w:r>
        <w:rPr>
          <w:noProof/>
        </w:rPr>
        <w:pict>
          <v:shape id="_x0000_s1172" type="#_x0000_t202" style="position:absolute;left:0;text-align:left;margin-left:199.2pt;margin-top:519.8pt;width:7.2pt;height:7.2pt;z-index:251652608;visibility:hidden;mso-position-horizontal-relative:page;mso-position-vertical-relative:page" filled="f" stroked="f">
            <v:textbox style="mso-next-textbox:#_x0000_s1172" inset="0,0,0,0">
              <w:txbxContent>
                <w:p w:rsidR="00991400" w:rsidRDefault="00991400" w:rsidP="000B49FE">
                  <w:pPr>
                    <w:pStyle w:val="BodyText"/>
                  </w:pPr>
                </w:p>
              </w:txbxContent>
            </v:textbox>
            <w10:wrap anchorx="page" anchory="page"/>
          </v:shape>
        </w:pict>
      </w:r>
    </w:p>
    <w:p w:rsidR="00086742" w:rsidRPr="00086742" w:rsidRDefault="00086742" w:rsidP="00BD3C2D">
      <w:pPr>
        <w:jc w:val="both"/>
      </w:pPr>
    </w:p>
    <w:p w:rsidR="00086742" w:rsidRPr="00086742" w:rsidRDefault="00086742" w:rsidP="00BD3C2D">
      <w:pPr>
        <w:jc w:val="both"/>
      </w:pPr>
    </w:p>
    <w:p w:rsidR="00086742" w:rsidRPr="00086742" w:rsidRDefault="00086742" w:rsidP="00BD3C2D">
      <w:pPr>
        <w:jc w:val="both"/>
      </w:pPr>
    </w:p>
    <w:p w:rsidR="00086742" w:rsidRPr="00086742" w:rsidRDefault="00086742" w:rsidP="00BD3C2D">
      <w:pPr>
        <w:jc w:val="both"/>
      </w:pPr>
    </w:p>
    <w:p w:rsidR="00086742" w:rsidRDefault="00086742" w:rsidP="00BD3C2D">
      <w:pPr>
        <w:jc w:val="both"/>
      </w:pPr>
    </w:p>
    <w:p w:rsidR="00086742" w:rsidRPr="00BB78A5" w:rsidRDefault="00086742" w:rsidP="00BD3C2D">
      <w:pPr>
        <w:jc w:val="both"/>
        <w:rPr>
          <w:rFonts w:ascii="Lucida Sans Unicode" w:hAnsi="Lucida Sans Unicode" w:cs="Lucida Sans Unicode"/>
        </w:rPr>
      </w:pPr>
    </w:p>
    <w:p w:rsidR="00086742" w:rsidRPr="00BD3C2D" w:rsidRDefault="00086742" w:rsidP="00BD3C2D">
      <w:pPr>
        <w:jc w:val="both"/>
        <w:rPr>
          <w:rFonts w:cs="Lucida Sans Unicode"/>
          <w:b/>
          <w:smallCaps/>
          <w:color w:val="00B050"/>
          <w:sz w:val="28"/>
          <w:szCs w:val="28"/>
        </w:rPr>
      </w:pPr>
      <w:r w:rsidRPr="00BD3C2D">
        <w:rPr>
          <w:rFonts w:cs="Lucida Sans Unicode"/>
          <w:b/>
          <w:smallCaps/>
          <w:color w:val="00B050"/>
          <w:sz w:val="28"/>
          <w:szCs w:val="28"/>
        </w:rPr>
        <w:t>Recent &amp; Upcoming TA Missions</w:t>
      </w:r>
    </w:p>
    <w:p w:rsidR="00885F5B" w:rsidRPr="00BD3C2D" w:rsidRDefault="00885F5B" w:rsidP="00BD3C2D">
      <w:pPr>
        <w:jc w:val="both"/>
        <w:rPr>
          <w:rFonts w:asciiTheme="minorHAnsi" w:hAnsiTheme="minorHAnsi" w:cstheme="minorHAnsi"/>
          <w:b/>
          <w:sz w:val="20"/>
          <w:szCs w:val="20"/>
        </w:rPr>
      </w:pPr>
    </w:p>
    <w:p w:rsidR="00AB797A" w:rsidRPr="00BD3C2D" w:rsidRDefault="00AB797A" w:rsidP="00BD3C2D">
      <w:pPr>
        <w:jc w:val="both"/>
        <w:rPr>
          <w:rFonts w:cstheme="minorHAnsi"/>
          <w:b/>
          <w:color w:val="0070C0"/>
          <w:sz w:val="20"/>
          <w:szCs w:val="20"/>
        </w:rPr>
      </w:pPr>
      <w:r w:rsidRPr="00BD3C2D">
        <w:rPr>
          <w:rFonts w:cstheme="minorHAnsi"/>
          <w:b/>
          <w:color w:val="0070C0"/>
          <w:sz w:val="20"/>
          <w:szCs w:val="20"/>
        </w:rPr>
        <w:t>November</w:t>
      </w:r>
    </w:p>
    <w:tbl>
      <w:tblPr>
        <w:tblStyle w:val="TableGrid"/>
        <w:tblW w:w="0" w:type="auto"/>
        <w:tblLayout w:type="fixed"/>
        <w:tblLook w:val="04A0"/>
      </w:tblPr>
      <w:tblGrid>
        <w:gridCol w:w="1188"/>
        <w:gridCol w:w="900"/>
        <w:gridCol w:w="2880"/>
      </w:tblGrid>
      <w:tr w:rsidR="00AB797A" w:rsidRPr="00BD3C2D" w:rsidTr="00206E15">
        <w:trPr>
          <w:trHeight w:val="288"/>
        </w:trPr>
        <w:tc>
          <w:tcPr>
            <w:tcW w:w="1188" w:type="dxa"/>
            <w:tcBorders>
              <w:top w:val="single" w:sz="4" w:space="0" w:color="auto"/>
              <w:left w:val="nil"/>
              <w:bottom w:val="nil"/>
            </w:tcBorders>
            <w:vAlign w:val="center"/>
          </w:tcPr>
          <w:p w:rsidR="00AB797A" w:rsidRPr="00BD3C2D" w:rsidRDefault="00AB797A" w:rsidP="00BD3C2D">
            <w:pPr>
              <w:jc w:val="both"/>
              <w:rPr>
                <w:rFonts w:cstheme="minorHAnsi"/>
                <w:sz w:val="18"/>
                <w:szCs w:val="18"/>
              </w:rPr>
            </w:pPr>
            <w:r w:rsidRPr="00BD3C2D">
              <w:rPr>
                <w:rFonts w:cstheme="minorHAnsi"/>
                <w:sz w:val="18"/>
                <w:szCs w:val="18"/>
              </w:rPr>
              <w:t>PFM</w:t>
            </w:r>
          </w:p>
        </w:tc>
        <w:tc>
          <w:tcPr>
            <w:tcW w:w="900" w:type="dxa"/>
            <w:tcBorders>
              <w:top w:val="single" w:sz="4" w:space="0" w:color="auto"/>
            </w:tcBorders>
            <w:vAlign w:val="center"/>
          </w:tcPr>
          <w:p w:rsidR="00AB797A" w:rsidRPr="00BD3C2D" w:rsidRDefault="001F79BE" w:rsidP="00BD3C2D">
            <w:pPr>
              <w:jc w:val="both"/>
              <w:rPr>
                <w:rFonts w:cstheme="minorHAnsi"/>
                <w:sz w:val="18"/>
                <w:szCs w:val="18"/>
              </w:rPr>
            </w:pPr>
            <w:r w:rsidRPr="00BD3C2D">
              <w:rPr>
                <w:rFonts w:cstheme="minorHAnsi"/>
                <w:sz w:val="18"/>
                <w:szCs w:val="18"/>
              </w:rPr>
              <w:t>Cook Is.</w:t>
            </w:r>
          </w:p>
        </w:tc>
        <w:tc>
          <w:tcPr>
            <w:tcW w:w="2880" w:type="dxa"/>
            <w:tcBorders>
              <w:top w:val="single" w:sz="4" w:space="0" w:color="auto"/>
              <w:right w:val="nil"/>
            </w:tcBorders>
            <w:vAlign w:val="center"/>
          </w:tcPr>
          <w:p w:rsidR="00AB797A" w:rsidRPr="00BD3C2D" w:rsidRDefault="00AB64C4" w:rsidP="00BD3C2D">
            <w:pPr>
              <w:rPr>
                <w:rFonts w:cstheme="minorHAnsi"/>
                <w:sz w:val="18"/>
                <w:szCs w:val="18"/>
              </w:rPr>
            </w:pPr>
            <w:r>
              <w:rPr>
                <w:rFonts w:cstheme="minorHAnsi"/>
                <w:sz w:val="18"/>
                <w:szCs w:val="18"/>
              </w:rPr>
              <w:t>A</w:t>
            </w:r>
            <w:r w:rsidR="001F79BE" w:rsidRPr="00BD3C2D">
              <w:rPr>
                <w:rFonts w:cstheme="minorHAnsi"/>
                <w:sz w:val="18"/>
                <w:szCs w:val="18"/>
              </w:rPr>
              <w:t>ssistance with PEFA Self</w:t>
            </w:r>
            <w:r>
              <w:rPr>
                <w:rFonts w:cstheme="minorHAnsi"/>
                <w:sz w:val="18"/>
                <w:szCs w:val="18"/>
              </w:rPr>
              <w:t>-</w:t>
            </w:r>
            <w:r w:rsidR="001F79BE" w:rsidRPr="00BD3C2D">
              <w:rPr>
                <w:rFonts w:cstheme="minorHAnsi"/>
                <w:sz w:val="18"/>
                <w:szCs w:val="18"/>
              </w:rPr>
              <w:t xml:space="preserve"> Assessment</w:t>
            </w:r>
          </w:p>
        </w:tc>
      </w:tr>
      <w:tr w:rsidR="0006485C" w:rsidRPr="00BD3C2D" w:rsidTr="00704922">
        <w:trPr>
          <w:trHeight w:val="288"/>
        </w:trPr>
        <w:tc>
          <w:tcPr>
            <w:tcW w:w="1188" w:type="dxa"/>
            <w:tcBorders>
              <w:top w:val="nil"/>
              <w:left w:val="nil"/>
              <w:bottom w:val="nil"/>
            </w:tcBorders>
            <w:vAlign w:val="center"/>
          </w:tcPr>
          <w:p w:rsidR="0006485C" w:rsidRPr="00BD3C2D" w:rsidRDefault="0006485C" w:rsidP="00BD3C2D">
            <w:pPr>
              <w:jc w:val="both"/>
              <w:rPr>
                <w:rFonts w:cstheme="minorHAnsi"/>
                <w:sz w:val="18"/>
                <w:szCs w:val="18"/>
              </w:rPr>
            </w:pPr>
          </w:p>
        </w:tc>
        <w:tc>
          <w:tcPr>
            <w:tcW w:w="900" w:type="dxa"/>
            <w:tcBorders>
              <w:bottom w:val="single" w:sz="4" w:space="0" w:color="auto"/>
            </w:tcBorders>
            <w:vAlign w:val="center"/>
          </w:tcPr>
          <w:p w:rsidR="0006485C" w:rsidRPr="00BD3C2D" w:rsidRDefault="0006485C" w:rsidP="00BD3C2D">
            <w:pPr>
              <w:jc w:val="both"/>
              <w:rPr>
                <w:rFonts w:cstheme="minorHAnsi"/>
                <w:sz w:val="18"/>
                <w:szCs w:val="18"/>
              </w:rPr>
            </w:pPr>
            <w:r w:rsidRPr="00BD3C2D">
              <w:rPr>
                <w:rFonts w:cstheme="minorHAnsi"/>
                <w:sz w:val="18"/>
                <w:szCs w:val="18"/>
              </w:rPr>
              <w:t>Fiji</w:t>
            </w:r>
          </w:p>
        </w:tc>
        <w:tc>
          <w:tcPr>
            <w:tcW w:w="2880" w:type="dxa"/>
            <w:tcBorders>
              <w:bottom w:val="single" w:sz="4" w:space="0" w:color="auto"/>
              <w:right w:val="nil"/>
            </w:tcBorders>
            <w:vAlign w:val="center"/>
          </w:tcPr>
          <w:p w:rsidR="0006485C" w:rsidRPr="00BD3C2D" w:rsidRDefault="0006485C" w:rsidP="00BD3C2D">
            <w:pPr>
              <w:rPr>
                <w:rFonts w:cstheme="minorHAnsi"/>
                <w:sz w:val="18"/>
                <w:szCs w:val="18"/>
              </w:rPr>
            </w:pPr>
            <w:r w:rsidRPr="00BD3C2D">
              <w:rPr>
                <w:rFonts w:cstheme="minorHAnsi"/>
                <w:sz w:val="18"/>
                <w:szCs w:val="18"/>
              </w:rPr>
              <w:t>Implementing Accrual Accounting</w:t>
            </w:r>
          </w:p>
        </w:tc>
      </w:tr>
      <w:tr w:rsidR="00AB797A" w:rsidRPr="00BD3C2D" w:rsidTr="00704922">
        <w:trPr>
          <w:trHeight w:val="288"/>
        </w:trPr>
        <w:tc>
          <w:tcPr>
            <w:tcW w:w="1188" w:type="dxa"/>
            <w:tcBorders>
              <w:top w:val="single" w:sz="4" w:space="0" w:color="auto"/>
              <w:left w:val="nil"/>
              <w:bottom w:val="nil"/>
            </w:tcBorders>
            <w:vAlign w:val="center"/>
          </w:tcPr>
          <w:p w:rsidR="00AB797A" w:rsidRPr="00BD3C2D" w:rsidRDefault="00AB797A" w:rsidP="00BD3C2D">
            <w:pPr>
              <w:jc w:val="both"/>
              <w:rPr>
                <w:rFonts w:cstheme="minorHAnsi"/>
                <w:sz w:val="18"/>
                <w:szCs w:val="18"/>
              </w:rPr>
            </w:pPr>
            <w:r w:rsidRPr="00BD3C2D">
              <w:rPr>
                <w:rFonts w:cstheme="minorHAnsi"/>
                <w:sz w:val="18"/>
                <w:szCs w:val="18"/>
              </w:rPr>
              <w:t>Tax</w:t>
            </w:r>
          </w:p>
        </w:tc>
        <w:tc>
          <w:tcPr>
            <w:tcW w:w="900" w:type="dxa"/>
            <w:tcBorders>
              <w:bottom w:val="single" w:sz="4" w:space="0" w:color="auto"/>
            </w:tcBorders>
            <w:vAlign w:val="center"/>
          </w:tcPr>
          <w:p w:rsidR="00AB797A" w:rsidRPr="00BD3C2D" w:rsidRDefault="00A31A43" w:rsidP="00BD3C2D">
            <w:pPr>
              <w:jc w:val="both"/>
              <w:rPr>
                <w:rFonts w:cstheme="minorHAnsi"/>
                <w:sz w:val="18"/>
                <w:szCs w:val="18"/>
              </w:rPr>
            </w:pPr>
            <w:r w:rsidRPr="00BD3C2D">
              <w:rPr>
                <w:rFonts w:cstheme="minorHAnsi"/>
                <w:sz w:val="18"/>
                <w:szCs w:val="18"/>
              </w:rPr>
              <w:t>Palau</w:t>
            </w:r>
          </w:p>
        </w:tc>
        <w:tc>
          <w:tcPr>
            <w:tcW w:w="2880" w:type="dxa"/>
            <w:tcBorders>
              <w:bottom w:val="single" w:sz="4" w:space="0" w:color="auto"/>
              <w:right w:val="nil"/>
            </w:tcBorders>
            <w:vAlign w:val="center"/>
          </w:tcPr>
          <w:p w:rsidR="00AB797A" w:rsidRPr="00BD3C2D" w:rsidRDefault="00AB64C4" w:rsidP="00BD3C2D">
            <w:pPr>
              <w:rPr>
                <w:rFonts w:cstheme="minorHAnsi"/>
                <w:sz w:val="18"/>
                <w:szCs w:val="18"/>
              </w:rPr>
            </w:pPr>
            <w:r>
              <w:rPr>
                <w:rFonts w:cstheme="minorHAnsi"/>
                <w:sz w:val="18"/>
                <w:szCs w:val="18"/>
              </w:rPr>
              <w:t>A</w:t>
            </w:r>
            <w:r w:rsidR="00373C29" w:rsidRPr="00BD3C2D">
              <w:rPr>
                <w:rFonts w:cstheme="minorHAnsi"/>
                <w:sz w:val="18"/>
                <w:szCs w:val="18"/>
              </w:rPr>
              <w:t>wareness seminars on VAT</w:t>
            </w:r>
          </w:p>
        </w:tc>
      </w:tr>
      <w:tr w:rsidR="00704922" w:rsidRPr="00BD3C2D" w:rsidTr="00704922">
        <w:trPr>
          <w:trHeight w:val="288"/>
        </w:trPr>
        <w:tc>
          <w:tcPr>
            <w:tcW w:w="1188" w:type="dxa"/>
            <w:tcBorders>
              <w:top w:val="nil"/>
              <w:left w:val="nil"/>
              <w:bottom w:val="nil"/>
            </w:tcBorders>
            <w:vAlign w:val="center"/>
          </w:tcPr>
          <w:p w:rsidR="00704922" w:rsidRPr="00BD3C2D" w:rsidRDefault="00704922" w:rsidP="00BD3C2D">
            <w:pPr>
              <w:jc w:val="both"/>
              <w:rPr>
                <w:rFonts w:cstheme="minorHAnsi"/>
                <w:sz w:val="18"/>
                <w:szCs w:val="18"/>
              </w:rPr>
            </w:pPr>
          </w:p>
        </w:tc>
        <w:tc>
          <w:tcPr>
            <w:tcW w:w="900" w:type="dxa"/>
            <w:tcBorders>
              <w:top w:val="single" w:sz="4" w:space="0" w:color="auto"/>
            </w:tcBorders>
            <w:vAlign w:val="center"/>
          </w:tcPr>
          <w:p w:rsidR="00704922" w:rsidRPr="00BD3C2D" w:rsidRDefault="00704922" w:rsidP="00BD3C2D">
            <w:pPr>
              <w:jc w:val="both"/>
              <w:rPr>
                <w:rFonts w:cstheme="minorHAnsi"/>
                <w:sz w:val="18"/>
                <w:szCs w:val="18"/>
              </w:rPr>
            </w:pPr>
            <w:r>
              <w:rPr>
                <w:rFonts w:cstheme="minorHAnsi"/>
                <w:sz w:val="18"/>
                <w:szCs w:val="18"/>
              </w:rPr>
              <w:t>Tonga</w:t>
            </w:r>
          </w:p>
        </w:tc>
        <w:tc>
          <w:tcPr>
            <w:tcW w:w="2880" w:type="dxa"/>
            <w:tcBorders>
              <w:top w:val="single" w:sz="4" w:space="0" w:color="auto"/>
              <w:right w:val="nil"/>
            </w:tcBorders>
            <w:vAlign w:val="center"/>
          </w:tcPr>
          <w:p w:rsidR="00704922" w:rsidRDefault="00704922" w:rsidP="00BD3C2D">
            <w:pPr>
              <w:rPr>
                <w:rFonts w:cstheme="minorHAnsi"/>
                <w:sz w:val="18"/>
                <w:szCs w:val="18"/>
              </w:rPr>
            </w:pPr>
            <w:r>
              <w:rPr>
                <w:rFonts w:cstheme="minorHAnsi"/>
                <w:sz w:val="18"/>
                <w:szCs w:val="18"/>
              </w:rPr>
              <w:t>Preparation of legislation to implement a tax regime for the extractive industries sector and a small business tax</w:t>
            </w:r>
          </w:p>
        </w:tc>
      </w:tr>
      <w:tr w:rsidR="0059773B" w:rsidRPr="00BD3C2D" w:rsidTr="00704922">
        <w:trPr>
          <w:trHeight w:val="288"/>
        </w:trPr>
        <w:tc>
          <w:tcPr>
            <w:tcW w:w="1188" w:type="dxa"/>
            <w:tcBorders>
              <w:top w:val="nil"/>
              <w:left w:val="nil"/>
              <w:bottom w:val="nil"/>
            </w:tcBorders>
            <w:vAlign w:val="center"/>
          </w:tcPr>
          <w:p w:rsidR="0059773B" w:rsidRPr="00BD3C2D" w:rsidRDefault="0059773B" w:rsidP="00BD3C2D">
            <w:pPr>
              <w:jc w:val="both"/>
              <w:rPr>
                <w:rFonts w:cstheme="minorHAnsi"/>
                <w:sz w:val="18"/>
                <w:szCs w:val="18"/>
              </w:rPr>
            </w:pPr>
          </w:p>
        </w:tc>
        <w:tc>
          <w:tcPr>
            <w:tcW w:w="900" w:type="dxa"/>
            <w:tcBorders>
              <w:top w:val="single" w:sz="4" w:space="0" w:color="auto"/>
            </w:tcBorders>
            <w:vAlign w:val="center"/>
          </w:tcPr>
          <w:p w:rsidR="0059773B" w:rsidRDefault="0059773B" w:rsidP="00BD3C2D">
            <w:pPr>
              <w:jc w:val="both"/>
              <w:rPr>
                <w:rFonts w:cstheme="minorHAnsi"/>
                <w:sz w:val="18"/>
                <w:szCs w:val="18"/>
              </w:rPr>
            </w:pPr>
            <w:r>
              <w:rPr>
                <w:rFonts w:cstheme="minorHAnsi"/>
                <w:sz w:val="18"/>
                <w:szCs w:val="18"/>
              </w:rPr>
              <w:t>Vanuatu</w:t>
            </w:r>
          </w:p>
        </w:tc>
        <w:tc>
          <w:tcPr>
            <w:tcW w:w="2880" w:type="dxa"/>
            <w:tcBorders>
              <w:top w:val="single" w:sz="4" w:space="0" w:color="auto"/>
              <w:right w:val="nil"/>
            </w:tcBorders>
            <w:vAlign w:val="center"/>
          </w:tcPr>
          <w:p w:rsidR="0059773B" w:rsidRDefault="0059773B" w:rsidP="00BD3C2D">
            <w:pPr>
              <w:rPr>
                <w:rFonts w:cstheme="minorHAnsi"/>
                <w:sz w:val="18"/>
                <w:szCs w:val="18"/>
              </w:rPr>
            </w:pPr>
            <w:r>
              <w:rPr>
                <w:rFonts w:cstheme="minorHAnsi"/>
                <w:sz w:val="18"/>
                <w:szCs w:val="18"/>
              </w:rPr>
              <w:t>Courtesy follow up on possible tax policy and administration reform issues (pr</w:t>
            </w:r>
            <w:r w:rsidR="00A27E71">
              <w:rPr>
                <w:rFonts w:cstheme="minorHAnsi"/>
                <w:sz w:val="18"/>
                <w:szCs w:val="18"/>
              </w:rPr>
              <w:t>e Steering committee Meeting)</w:t>
            </w:r>
          </w:p>
        </w:tc>
      </w:tr>
      <w:tr w:rsidR="00AB797A" w:rsidRPr="00BD3C2D" w:rsidTr="006231D4">
        <w:trPr>
          <w:trHeight w:val="288"/>
        </w:trPr>
        <w:tc>
          <w:tcPr>
            <w:tcW w:w="1188" w:type="dxa"/>
            <w:tcBorders>
              <w:top w:val="single" w:sz="4" w:space="0" w:color="auto"/>
              <w:left w:val="nil"/>
              <w:bottom w:val="nil"/>
            </w:tcBorders>
            <w:vAlign w:val="center"/>
          </w:tcPr>
          <w:p w:rsidR="00AB797A" w:rsidRPr="00BD3C2D" w:rsidRDefault="006231D4" w:rsidP="00BD3C2D">
            <w:pPr>
              <w:jc w:val="both"/>
              <w:rPr>
                <w:rFonts w:cstheme="minorHAnsi"/>
                <w:sz w:val="18"/>
                <w:szCs w:val="18"/>
              </w:rPr>
            </w:pPr>
            <w:r w:rsidRPr="00BD3C2D">
              <w:rPr>
                <w:rFonts w:cstheme="minorHAnsi"/>
                <w:sz w:val="18"/>
                <w:szCs w:val="18"/>
              </w:rPr>
              <w:t>Statistics</w:t>
            </w:r>
          </w:p>
        </w:tc>
        <w:tc>
          <w:tcPr>
            <w:tcW w:w="900" w:type="dxa"/>
            <w:tcBorders>
              <w:top w:val="single" w:sz="4" w:space="0" w:color="auto"/>
              <w:bottom w:val="single" w:sz="4" w:space="0" w:color="auto"/>
            </w:tcBorders>
            <w:vAlign w:val="center"/>
          </w:tcPr>
          <w:p w:rsidR="00AB797A" w:rsidRPr="00BD3C2D" w:rsidRDefault="006A1ECC" w:rsidP="00BD3C2D">
            <w:pPr>
              <w:jc w:val="both"/>
              <w:rPr>
                <w:rFonts w:cstheme="minorHAnsi"/>
                <w:sz w:val="18"/>
                <w:szCs w:val="18"/>
              </w:rPr>
            </w:pPr>
            <w:r w:rsidRPr="00BD3C2D">
              <w:rPr>
                <w:rFonts w:cstheme="minorHAnsi"/>
                <w:sz w:val="18"/>
                <w:szCs w:val="18"/>
              </w:rPr>
              <w:t>FSM</w:t>
            </w:r>
          </w:p>
        </w:tc>
        <w:tc>
          <w:tcPr>
            <w:tcW w:w="2880" w:type="dxa"/>
            <w:tcBorders>
              <w:top w:val="single" w:sz="4" w:space="0" w:color="auto"/>
              <w:bottom w:val="single" w:sz="4" w:space="0" w:color="auto"/>
              <w:right w:val="nil"/>
            </w:tcBorders>
            <w:vAlign w:val="center"/>
          </w:tcPr>
          <w:p w:rsidR="00AB797A" w:rsidRPr="00BD3C2D" w:rsidRDefault="003D7884" w:rsidP="00BD3C2D">
            <w:pPr>
              <w:rPr>
                <w:rFonts w:cstheme="minorHAnsi"/>
                <w:sz w:val="18"/>
                <w:szCs w:val="18"/>
              </w:rPr>
            </w:pPr>
            <w:r w:rsidRPr="00BD3C2D">
              <w:rPr>
                <w:rFonts w:cstheme="minorHAnsi"/>
                <w:sz w:val="18"/>
                <w:szCs w:val="18"/>
              </w:rPr>
              <w:t>Sub-regional training course on National Accounts</w:t>
            </w:r>
          </w:p>
        </w:tc>
      </w:tr>
      <w:tr w:rsidR="00625CA5" w:rsidRPr="00BD3C2D" w:rsidTr="006F7AF5">
        <w:trPr>
          <w:trHeight w:val="288"/>
        </w:trPr>
        <w:tc>
          <w:tcPr>
            <w:tcW w:w="1188" w:type="dxa"/>
            <w:tcBorders>
              <w:top w:val="nil"/>
              <w:left w:val="nil"/>
              <w:bottom w:val="nil"/>
            </w:tcBorders>
            <w:vAlign w:val="center"/>
          </w:tcPr>
          <w:p w:rsidR="00625CA5" w:rsidRPr="00BD3C2D" w:rsidRDefault="00625CA5" w:rsidP="00BD3C2D">
            <w:pPr>
              <w:jc w:val="both"/>
              <w:rPr>
                <w:rFonts w:cstheme="minorHAnsi"/>
                <w:sz w:val="18"/>
                <w:szCs w:val="18"/>
              </w:rPr>
            </w:pPr>
          </w:p>
        </w:tc>
        <w:tc>
          <w:tcPr>
            <w:tcW w:w="900" w:type="dxa"/>
            <w:tcBorders>
              <w:bottom w:val="single" w:sz="4" w:space="0" w:color="auto"/>
            </w:tcBorders>
            <w:vAlign w:val="center"/>
          </w:tcPr>
          <w:p w:rsidR="00625CA5" w:rsidRPr="00BD3C2D" w:rsidRDefault="006A1ECC" w:rsidP="00BD3C2D">
            <w:pPr>
              <w:jc w:val="both"/>
              <w:rPr>
                <w:rFonts w:cstheme="minorHAnsi"/>
                <w:sz w:val="18"/>
                <w:szCs w:val="18"/>
              </w:rPr>
            </w:pPr>
            <w:r w:rsidRPr="00BD3C2D">
              <w:rPr>
                <w:rFonts w:cstheme="minorHAnsi"/>
                <w:sz w:val="18"/>
                <w:szCs w:val="18"/>
              </w:rPr>
              <w:t>Cook Is.</w:t>
            </w:r>
          </w:p>
        </w:tc>
        <w:tc>
          <w:tcPr>
            <w:tcW w:w="2880" w:type="dxa"/>
            <w:tcBorders>
              <w:bottom w:val="single" w:sz="4" w:space="0" w:color="auto"/>
              <w:right w:val="nil"/>
            </w:tcBorders>
            <w:vAlign w:val="center"/>
          </w:tcPr>
          <w:p w:rsidR="00625CA5" w:rsidRPr="00BD3C2D" w:rsidRDefault="00E9173E" w:rsidP="00BD3C2D">
            <w:pPr>
              <w:rPr>
                <w:rFonts w:cstheme="minorHAnsi"/>
                <w:sz w:val="18"/>
                <w:szCs w:val="18"/>
              </w:rPr>
            </w:pPr>
            <w:r w:rsidRPr="00BD3C2D">
              <w:rPr>
                <w:rFonts w:cstheme="minorHAnsi"/>
                <w:sz w:val="18"/>
                <w:szCs w:val="18"/>
              </w:rPr>
              <w:t>National Accounts - Quarterly</w:t>
            </w:r>
          </w:p>
        </w:tc>
      </w:tr>
      <w:tr w:rsidR="006F7AF5" w:rsidRPr="00BD3C2D" w:rsidTr="006F7AF5">
        <w:trPr>
          <w:trHeight w:val="288"/>
        </w:trPr>
        <w:tc>
          <w:tcPr>
            <w:tcW w:w="1188" w:type="dxa"/>
            <w:tcBorders>
              <w:top w:val="nil"/>
              <w:left w:val="nil"/>
              <w:bottom w:val="single" w:sz="4" w:space="0" w:color="auto"/>
            </w:tcBorders>
            <w:vAlign w:val="center"/>
          </w:tcPr>
          <w:p w:rsidR="006F7AF5" w:rsidRPr="00BD3C2D" w:rsidRDefault="006F7AF5" w:rsidP="00BD3C2D">
            <w:pPr>
              <w:jc w:val="both"/>
              <w:rPr>
                <w:rFonts w:cstheme="minorHAnsi"/>
                <w:sz w:val="18"/>
                <w:szCs w:val="18"/>
              </w:rPr>
            </w:pPr>
          </w:p>
        </w:tc>
        <w:tc>
          <w:tcPr>
            <w:tcW w:w="900" w:type="dxa"/>
            <w:tcBorders>
              <w:top w:val="single" w:sz="4" w:space="0" w:color="auto"/>
              <w:bottom w:val="single" w:sz="4" w:space="0" w:color="auto"/>
            </w:tcBorders>
            <w:vAlign w:val="center"/>
          </w:tcPr>
          <w:p w:rsidR="006F7AF5" w:rsidRPr="00BD3C2D" w:rsidRDefault="006F7AF5" w:rsidP="00BD3C2D">
            <w:pPr>
              <w:jc w:val="both"/>
              <w:rPr>
                <w:rFonts w:cstheme="minorHAnsi"/>
                <w:sz w:val="18"/>
                <w:szCs w:val="18"/>
              </w:rPr>
            </w:pPr>
            <w:r>
              <w:rPr>
                <w:rFonts w:cstheme="minorHAnsi"/>
                <w:sz w:val="18"/>
                <w:szCs w:val="18"/>
              </w:rPr>
              <w:t>Vanuatu</w:t>
            </w:r>
          </w:p>
        </w:tc>
        <w:tc>
          <w:tcPr>
            <w:tcW w:w="2880" w:type="dxa"/>
            <w:tcBorders>
              <w:top w:val="single" w:sz="4" w:space="0" w:color="auto"/>
              <w:bottom w:val="single" w:sz="4" w:space="0" w:color="auto"/>
              <w:right w:val="nil"/>
            </w:tcBorders>
            <w:vAlign w:val="center"/>
          </w:tcPr>
          <w:p w:rsidR="006F7AF5" w:rsidRPr="00BD3C2D" w:rsidRDefault="006F7AF5" w:rsidP="00BD3C2D">
            <w:pPr>
              <w:rPr>
                <w:rFonts w:cstheme="minorHAnsi"/>
                <w:sz w:val="18"/>
                <w:szCs w:val="18"/>
              </w:rPr>
            </w:pPr>
            <w:r>
              <w:rPr>
                <w:rFonts w:cstheme="minorHAnsi"/>
                <w:sz w:val="18"/>
                <w:szCs w:val="18"/>
              </w:rPr>
              <w:t>National Accounts</w:t>
            </w:r>
          </w:p>
        </w:tc>
      </w:tr>
      <w:tr w:rsidR="006231D4" w:rsidRPr="00BD3C2D" w:rsidTr="006231D4">
        <w:trPr>
          <w:trHeight w:val="288"/>
        </w:trPr>
        <w:tc>
          <w:tcPr>
            <w:tcW w:w="1188" w:type="dxa"/>
            <w:tcBorders>
              <w:top w:val="single" w:sz="4" w:space="0" w:color="auto"/>
              <w:left w:val="nil"/>
              <w:bottom w:val="single" w:sz="4" w:space="0" w:color="auto"/>
            </w:tcBorders>
            <w:vAlign w:val="center"/>
          </w:tcPr>
          <w:p w:rsidR="006231D4" w:rsidRPr="00BD3C2D" w:rsidRDefault="0029590B" w:rsidP="00BD3C2D">
            <w:pPr>
              <w:jc w:val="both"/>
              <w:rPr>
                <w:rFonts w:cstheme="minorHAnsi"/>
                <w:sz w:val="18"/>
                <w:szCs w:val="18"/>
              </w:rPr>
            </w:pPr>
            <w:r w:rsidRPr="00BD3C2D">
              <w:rPr>
                <w:rFonts w:cstheme="minorHAnsi"/>
                <w:sz w:val="18"/>
                <w:szCs w:val="18"/>
              </w:rPr>
              <w:t>PFTAC/IMF</w:t>
            </w:r>
          </w:p>
        </w:tc>
        <w:tc>
          <w:tcPr>
            <w:tcW w:w="900" w:type="dxa"/>
            <w:tcBorders>
              <w:top w:val="single" w:sz="4" w:space="0" w:color="auto"/>
              <w:bottom w:val="single" w:sz="4" w:space="0" w:color="auto"/>
            </w:tcBorders>
            <w:vAlign w:val="center"/>
          </w:tcPr>
          <w:p w:rsidR="006231D4" w:rsidRPr="00BD3C2D" w:rsidRDefault="0029590B" w:rsidP="00BD3C2D">
            <w:pPr>
              <w:jc w:val="both"/>
              <w:rPr>
                <w:rFonts w:cstheme="minorHAnsi"/>
                <w:sz w:val="18"/>
                <w:szCs w:val="18"/>
              </w:rPr>
            </w:pPr>
            <w:r w:rsidRPr="00BD3C2D">
              <w:rPr>
                <w:rFonts w:cstheme="minorHAnsi"/>
                <w:sz w:val="18"/>
                <w:szCs w:val="18"/>
              </w:rPr>
              <w:t>Vanuatu</w:t>
            </w:r>
          </w:p>
        </w:tc>
        <w:tc>
          <w:tcPr>
            <w:tcW w:w="2880" w:type="dxa"/>
            <w:tcBorders>
              <w:top w:val="single" w:sz="4" w:space="0" w:color="auto"/>
              <w:bottom w:val="single" w:sz="4" w:space="0" w:color="auto"/>
              <w:right w:val="nil"/>
            </w:tcBorders>
            <w:vAlign w:val="center"/>
          </w:tcPr>
          <w:p w:rsidR="006231D4" w:rsidRPr="00BD3C2D" w:rsidRDefault="0029590B" w:rsidP="00BD3C2D">
            <w:pPr>
              <w:rPr>
                <w:rFonts w:cstheme="minorHAnsi"/>
                <w:sz w:val="18"/>
                <w:szCs w:val="18"/>
              </w:rPr>
            </w:pPr>
            <w:r w:rsidRPr="00BD3C2D">
              <w:rPr>
                <w:rFonts w:cstheme="minorHAnsi"/>
                <w:sz w:val="18"/>
                <w:szCs w:val="18"/>
              </w:rPr>
              <w:t>PFTAC Steering Committee and IMF Pacific Islands Conference</w:t>
            </w:r>
          </w:p>
        </w:tc>
      </w:tr>
    </w:tbl>
    <w:p w:rsidR="00E236DA" w:rsidRDefault="00E236DA" w:rsidP="00BD3C2D">
      <w:pPr>
        <w:jc w:val="both"/>
        <w:rPr>
          <w:b/>
          <w:sz w:val="20"/>
          <w:szCs w:val="20"/>
        </w:rPr>
      </w:pPr>
    </w:p>
    <w:p w:rsidR="00AB797A" w:rsidRPr="00BD3C2D" w:rsidRDefault="00AB797A" w:rsidP="00BD3C2D">
      <w:pPr>
        <w:jc w:val="both"/>
        <w:rPr>
          <w:rFonts w:cstheme="minorHAnsi"/>
          <w:b/>
          <w:color w:val="0070C0"/>
          <w:sz w:val="20"/>
          <w:szCs w:val="20"/>
        </w:rPr>
      </w:pPr>
      <w:r w:rsidRPr="00BD3C2D">
        <w:rPr>
          <w:rFonts w:cstheme="minorHAnsi"/>
          <w:b/>
          <w:color w:val="0070C0"/>
          <w:sz w:val="20"/>
          <w:szCs w:val="20"/>
        </w:rPr>
        <w:t>December</w:t>
      </w:r>
    </w:p>
    <w:tbl>
      <w:tblPr>
        <w:tblStyle w:val="TableGrid"/>
        <w:tblW w:w="0" w:type="auto"/>
        <w:tblLayout w:type="fixed"/>
        <w:tblLook w:val="04A0"/>
      </w:tblPr>
      <w:tblGrid>
        <w:gridCol w:w="1188"/>
        <w:gridCol w:w="900"/>
        <w:gridCol w:w="2880"/>
      </w:tblGrid>
      <w:tr w:rsidR="00AB797A" w:rsidRPr="00BD3C2D" w:rsidTr="006F7AF5">
        <w:trPr>
          <w:trHeight w:val="288"/>
        </w:trPr>
        <w:tc>
          <w:tcPr>
            <w:tcW w:w="1188" w:type="dxa"/>
            <w:tcBorders>
              <w:left w:val="nil"/>
              <w:bottom w:val="nil"/>
            </w:tcBorders>
            <w:vAlign w:val="center"/>
          </w:tcPr>
          <w:p w:rsidR="00AB797A" w:rsidRPr="00BD3C2D" w:rsidRDefault="0025214F" w:rsidP="00BD3C2D">
            <w:pPr>
              <w:jc w:val="both"/>
              <w:rPr>
                <w:rFonts w:cstheme="minorHAnsi"/>
                <w:sz w:val="18"/>
                <w:szCs w:val="18"/>
              </w:rPr>
            </w:pPr>
            <w:r w:rsidRPr="00BD3C2D">
              <w:rPr>
                <w:rFonts w:cstheme="minorHAnsi"/>
                <w:sz w:val="18"/>
                <w:szCs w:val="18"/>
              </w:rPr>
              <w:t>PFM</w:t>
            </w:r>
          </w:p>
        </w:tc>
        <w:tc>
          <w:tcPr>
            <w:tcW w:w="900" w:type="dxa"/>
            <w:tcBorders>
              <w:bottom w:val="single" w:sz="4" w:space="0" w:color="auto"/>
            </w:tcBorders>
            <w:vAlign w:val="center"/>
          </w:tcPr>
          <w:p w:rsidR="00AB797A" w:rsidRPr="00BD3C2D" w:rsidRDefault="0025214F" w:rsidP="00BD3C2D">
            <w:pPr>
              <w:jc w:val="both"/>
              <w:rPr>
                <w:rFonts w:cstheme="minorHAnsi"/>
                <w:sz w:val="18"/>
                <w:szCs w:val="18"/>
              </w:rPr>
            </w:pPr>
            <w:r w:rsidRPr="00BD3C2D">
              <w:rPr>
                <w:rFonts w:cstheme="minorHAnsi"/>
                <w:sz w:val="18"/>
                <w:szCs w:val="18"/>
              </w:rPr>
              <w:t>Fiji</w:t>
            </w:r>
          </w:p>
        </w:tc>
        <w:tc>
          <w:tcPr>
            <w:tcW w:w="2880" w:type="dxa"/>
            <w:tcBorders>
              <w:bottom w:val="single" w:sz="4" w:space="0" w:color="auto"/>
              <w:right w:val="nil"/>
            </w:tcBorders>
            <w:vAlign w:val="center"/>
          </w:tcPr>
          <w:p w:rsidR="00AB797A" w:rsidRPr="00BD3C2D" w:rsidRDefault="0006485C" w:rsidP="00BD3C2D">
            <w:pPr>
              <w:rPr>
                <w:rFonts w:cstheme="minorHAnsi"/>
                <w:sz w:val="18"/>
                <w:szCs w:val="18"/>
              </w:rPr>
            </w:pPr>
            <w:r w:rsidRPr="00BD3C2D">
              <w:rPr>
                <w:rFonts w:cstheme="minorHAnsi"/>
                <w:sz w:val="18"/>
                <w:szCs w:val="18"/>
              </w:rPr>
              <w:t>Implementing Accrual Accounting</w:t>
            </w:r>
          </w:p>
        </w:tc>
      </w:tr>
      <w:tr w:rsidR="006F7AF5" w:rsidRPr="00BD3C2D" w:rsidTr="006F7AF5">
        <w:trPr>
          <w:trHeight w:val="288"/>
        </w:trPr>
        <w:tc>
          <w:tcPr>
            <w:tcW w:w="1188" w:type="dxa"/>
            <w:tcBorders>
              <w:top w:val="nil"/>
              <w:left w:val="nil"/>
              <w:bottom w:val="single" w:sz="4" w:space="0" w:color="auto"/>
            </w:tcBorders>
            <w:vAlign w:val="center"/>
          </w:tcPr>
          <w:p w:rsidR="006F7AF5" w:rsidRPr="00BD3C2D" w:rsidRDefault="006F7AF5" w:rsidP="00BD3C2D">
            <w:pPr>
              <w:jc w:val="both"/>
              <w:rPr>
                <w:rFonts w:cstheme="minorHAnsi"/>
                <w:sz w:val="18"/>
                <w:szCs w:val="18"/>
              </w:rPr>
            </w:pPr>
          </w:p>
        </w:tc>
        <w:tc>
          <w:tcPr>
            <w:tcW w:w="900" w:type="dxa"/>
            <w:tcBorders>
              <w:bottom w:val="single" w:sz="4" w:space="0" w:color="auto"/>
            </w:tcBorders>
            <w:vAlign w:val="center"/>
          </w:tcPr>
          <w:p w:rsidR="006F7AF5" w:rsidRPr="00BD3C2D" w:rsidRDefault="006F7AF5" w:rsidP="00BD3C2D">
            <w:pPr>
              <w:jc w:val="both"/>
              <w:rPr>
                <w:rFonts w:cstheme="minorHAnsi"/>
                <w:sz w:val="18"/>
                <w:szCs w:val="18"/>
              </w:rPr>
            </w:pPr>
            <w:r>
              <w:rPr>
                <w:rFonts w:cstheme="minorHAnsi"/>
                <w:sz w:val="18"/>
                <w:szCs w:val="18"/>
              </w:rPr>
              <w:t>Solomon Is.</w:t>
            </w:r>
          </w:p>
        </w:tc>
        <w:tc>
          <w:tcPr>
            <w:tcW w:w="2880" w:type="dxa"/>
            <w:tcBorders>
              <w:bottom w:val="single" w:sz="4" w:space="0" w:color="auto"/>
              <w:right w:val="nil"/>
            </w:tcBorders>
            <w:vAlign w:val="center"/>
          </w:tcPr>
          <w:p w:rsidR="006F7AF5" w:rsidRPr="00BD3C2D" w:rsidRDefault="006F7AF5" w:rsidP="00BD3C2D">
            <w:pPr>
              <w:rPr>
                <w:rFonts w:cstheme="minorHAnsi"/>
                <w:sz w:val="18"/>
                <w:szCs w:val="18"/>
              </w:rPr>
            </w:pPr>
            <w:r>
              <w:rPr>
                <w:rFonts w:cstheme="minorHAnsi"/>
                <w:sz w:val="18"/>
                <w:szCs w:val="18"/>
              </w:rPr>
              <w:t>PFM Roadmap Development Guidance – Phase 1</w:t>
            </w:r>
          </w:p>
        </w:tc>
      </w:tr>
      <w:tr w:rsidR="00704922" w:rsidRPr="00BD3C2D" w:rsidTr="006F7AF5">
        <w:trPr>
          <w:trHeight w:val="288"/>
        </w:trPr>
        <w:tc>
          <w:tcPr>
            <w:tcW w:w="1188" w:type="dxa"/>
            <w:tcBorders>
              <w:top w:val="single" w:sz="4" w:space="0" w:color="auto"/>
              <w:left w:val="nil"/>
              <w:bottom w:val="nil"/>
            </w:tcBorders>
            <w:vAlign w:val="center"/>
          </w:tcPr>
          <w:p w:rsidR="00704922" w:rsidRPr="00BD3C2D" w:rsidRDefault="00704922" w:rsidP="00BD3C2D">
            <w:pPr>
              <w:jc w:val="both"/>
              <w:rPr>
                <w:rFonts w:cstheme="minorHAnsi"/>
                <w:sz w:val="18"/>
                <w:szCs w:val="18"/>
              </w:rPr>
            </w:pPr>
            <w:r>
              <w:rPr>
                <w:rFonts w:cstheme="minorHAnsi"/>
                <w:sz w:val="18"/>
                <w:szCs w:val="18"/>
              </w:rPr>
              <w:t>Tax</w:t>
            </w:r>
          </w:p>
        </w:tc>
        <w:tc>
          <w:tcPr>
            <w:tcW w:w="900" w:type="dxa"/>
            <w:tcBorders>
              <w:bottom w:val="single" w:sz="4" w:space="0" w:color="auto"/>
            </w:tcBorders>
            <w:vAlign w:val="center"/>
          </w:tcPr>
          <w:p w:rsidR="00704922" w:rsidRPr="00BD3C2D" w:rsidRDefault="00704922" w:rsidP="00BD3C2D">
            <w:pPr>
              <w:jc w:val="both"/>
              <w:rPr>
                <w:rFonts w:cstheme="minorHAnsi"/>
                <w:sz w:val="18"/>
                <w:szCs w:val="18"/>
              </w:rPr>
            </w:pPr>
            <w:r>
              <w:rPr>
                <w:rFonts w:cstheme="minorHAnsi"/>
                <w:sz w:val="18"/>
                <w:szCs w:val="18"/>
              </w:rPr>
              <w:t>Tonga</w:t>
            </w:r>
          </w:p>
        </w:tc>
        <w:tc>
          <w:tcPr>
            <w:tcW w:w="2880" w:type="dxa"/>
            <w:tcBorders>
              <w:bottom w:val="single" w:sz="4" w:space="0" w:color="auto"/>
              <w:right w:val="nil"/>
            </w:tcBorders>
            <w:vAlign w:val="center"/>
          </w:tcPr>
          <w:p w:rsidR="00704922" w:rsidRPr="00BD3C2D" w:rsidRDefault="00D7230A" w:rsidP="005352D5">
            <w:pPr>
              <w:rPr>
                <w:rFonts w:cstheme="minorHAnsi"/>
                <w:sz w:val="18"/>
                <w:szCs w:val="18"/>
              </w:rPr>
            </w:pPr>
            <w:r>
              <w:rPr>
                <w:rFonts w:cstheme="minorHAnsi"/>
                <w:sz w:val="18"/>
                <w:szCs w:val="18"/>
              </w:rPr>
              <w:t xml:space="preserve">Finalization of </w:t>
            </w:r>
            <w:r w:rsidR="005352D5">
              <w:rPr>
                <w:rFonts w:cstheme="minorHAnsi"/>
                <w:sz w:val="18"/>
                <w:szCs w:val="18"/>
              </w:rPr>
              <w:t>r</w:t>
            </w:r>
            <w:r>
              <w:rPr>
                <w:rFonts w:cstheme="minorHAnsi"/>
                <w:sz w:val="18"/>
                <w:szCs w:val="18"/>
              </w:rPr>
              <w:t>egulations and Technical Notes f</w:t>
            </w:r>
            <w:r w:rsidR="00704922">
              <w:rPr>
                <w:rFonts w:cstheme="minorHAnsi"/>
                <w:sz w:val="18"/>
                <w:szCs w:val="18"/>
              </w:rPr>
              <w:t xml:space="preserve">or the </w:t>
            </w:r>
            <w:r>
              <w:rPr>
                <w:rFonts w:cstheme="minorHAnsi"/>
                <w:sz w:val="18"/>
                <w:szCs w:val="18"/>
              </w:rPr>
              <w:t xml:space="preserve">new </w:t>
            </w:r>
            <w:r w:rsidR="00704922">
              <w:rPr>
                <w:rFonts w:cstheme="minorHAnsi"/>
                <w:sz w:val="18"/>
                <w:szCs w:val="18"/>
              </w:rPr>
              <w:t>extractive industries and small business tax</w:t>
            </w:r>
            <w:r>
              <w:rPr>
                <w:rFonts w:cstheme="minorHAnsi"/>
                <w:sz w:val="18"/>
                <w:szCs w:val="18"/>
              </w:rPr>
              <w:t xml:space="preserve"> regimes</w:t>
            </w:r>
          </w:p>
        </w:tc>
      </w:tr>
      <w:tr w:rsidR="00704922" w:rsidRPr="00BD3C2D" w:rsidTr="00704922">
        <w:trPr>
          <w:trHeight w:val="288"/>
        </w:trPr>
        <w:tc>
          <w:tcPr>
            <w:tcW w:w="1188" w:type="dxa"/>
            <w:tcBorders>
              <w:top w:val="nil"/>
              <w:left w:val="nil"/>
              <w:bottom w:val="nil"/>
            </w:tcBorders>
            <w:vAlign w:val="center"/>
          </w:tcPr>
          <w:p w:rsidR="00704922" w:rsidRDefault="00704922" w:rsidP="00BD3C2D">
            <w:pPr>
              <w:jc w:val="both"/>
              <w:rPr>
                <w:rFonts w:cstheme="minorHAnsi"/>
                <w:sz w:val="18"/>
                <w:szCs w:val="18"/>
              </w:rPr>
            </w:pPr>
          </w:p>
        </w:tc>
        <w:tc>
          <w:tcPr>
            <w:tcW w:w="900" w:type="dxa"/>
            <w:tcBorders>
              <w:top w:val="single" w:sz="4" w:space="0" w:color="auto"/>
            </w:tcBorders>
            <w:vAlign w:val="center"/>
          </w:tcPr>
          <w:p w:rsidR="00704922" w:rsidRPr="00BD3C2D" w:rsidRDefault="00704922" w:rsidP="00BD3C2D">
            <w:pPr>
              <w:jc w:val="both"/>
              <w:rPr>
                <w:rFonts w:cstheme="minorHAnsi"/>
                <w:sz w:val="18"/>
                <w:szCs w:val="18"/>
              </w:rPr>
            </w:pPr>
            <w:r>
              <w:rPr>
                <w:rFonts w:cstheme="minorHAnsi"/>
                <w:sz w:val="18"/>
                <w:szCs w:val="18"/>
              </w:rPr>
              <w:t>Palau</w:t>
            </w:r>
          </w:p>
        </w:tc>
        <w:tc>
          <w:tcPr>
            <w:tcW w:w="2880" w:type="dxa"/>
            <w:tcBorders>
              <w:top w:val="single" w:sz="4" w:space="0" w:color="auto"/>
              <w:right w:val="nil"/>
            </w:tcBorders>
            <w:vAlign w:val="center"/>
          </w:tcPr>
          <w:p w:rsidR="00704922" w:rsidRDefault="00D7230A" w:rsidP="005352D5">
            <w:pPr>
              <w:rPr>
                <w:rFonts w:cstheme="minorHAnsi"/>
                <w:sz w:val="18"/>
                <w:szCs w:val="18"/>
              </w:rPr>
            </w:pPr>
            <w:r>
              <w:rPr>
                <w:rFonts w:cstheme="minorHAnsi"/>
                <w:sz w:val="18"/>
                <w:szCs w:val="18"/>
              </w:rPr>
              <w:t>F</w:t>
            </w:r>
            <w:r w:rsidR="00704922">
              <w:rPr>
                <w:rFonts w:cstheme="minorHAnsi"/>
                <w:sz w:val="18"/>
                <w:szCs w:val="18"/>
              </w:rPr>
              <w:t>inaliz</w:t>
            </w:r>
            <w:r>
              <w:rPr>
                <w:rFonts w:cstheme="minorHAnsi"/>
                <w:sz w:val="18"/>
                <w:szCs w:val="18"/>
              </w:rPr>
              <w:t xml:space="preserve">ing VAT </w:t>
            </w:r>
            <w:r w:rsidR="00704922">
              <w:rPr>
                <w:rFonts w:cstheme="minorHAnsi"/>
                <w:sz w:val="18"/>
                <w:szCs w:val="18"/>
              </w:rPr>
              <w:t>legislation</w:t>
            </w:r>
          </w:p>
        </w:tc>
      </w:tr>
      <w:tr w:rsidR="0025214F" w:rsidRPr="00BD3C2D" w:rsidTr="00BD3C2D">
        <w:trPr>
          <w:trHeight w:val="288"/>
        </w:trPr>
        <w:tc>
          <w:tcPr>
            <w:tcW w:w="1188" w:type="dxa"/>
            <w:tcBorders>
              <w:left w:val="nil"/>
              <w:bottom w:val="nil"/>
            </w:tcBorders>
            <w:vAlign w:val="center"/>
          </w:tcPr>
          <w:p w:rsidR="0025214F" w:rsidRPr="00BD3C2D" w:rsidRDefault="0025214F" w:rsidP="00BD3C2D">
            <w:pPr>
              <w:jc w:val="both"/>
              <w:rPr>
                <w:rFonts w:cstheme="minorHAnsi"/>
                <w:sz w:val="18"/>
                <w:szCs w:val="18"/>
              </w:rPr>
            </w:pPr>
            <w:r w:rsidRPr="00BD3C2D">
              <w:rPr>
                <w:rFonts w:cstheme="minorHAnsi"/>
                <w:sz w:val="18"/>
                <w:szCs w:val="18"/>
              </w:rPr>
              <w:t>Statistics</w:t>
            </w:r>
          </w:p>
        </w:tc>
        <w:tc>
          <w:tcPr>
            <w:tcW w:w="900" w:type="dxa"/>
            <w:vAlign w:val="center"/>
          </w:tcPr>
          <w:p w:rsidR="0025214F" w:rsidRPr="00BD3C2D" w:rsidRDefault="0025214F" w:rsidP="00BD3C2D">
            <w:pPr>
              <w:jc w:val="both"/>
              <w:rPr>
                <w:rFonts w:cstheme="minorHAnsi"/>
                <w:sz w:val="18"/>
                <w:szCs w:val="18"/>
              </w:rPr>
            </w:pPr>
            <w:r w:rsidRPr="00BD3C2D">
              <w:rPr>
                <w:rFonts w:cstheme="minorHAnsi"/>
                <w:sz w:val="18"/>
                <w:szCs w:val="18"/>
              </w:rPr>
              <w:t>Noumea</w:t>
            </w:r>
          </w:p>
        </w:tc>
        <w:tc>
          <w:tcPr>
            <w:tcW w:w="2880" w:type="dxa"/>
            <w:tcBorders>
              <w:right w:val="nil"/>
            </w:tcBorders>
            <w:vAlign w:val="center"/>
          </w:tcPr>
          <w:p w:rsidR="0025214F" w:rsidRPr="00BD3C2D" w:rsidRDefault="0025214F" w:rsidP="00BD3C2D">
            <w:pPr>
              <w:rPr>
                <w:rFonts w:cstheme="minorHAnsi"/>
                <w:sz w:val="18"/>
                <w:szCs w:val="18"/>
              </w:rPr>
            </w:pPr>
            <w:r w:rsidRPr="00BD3C2D">
              <w:rPr>
                <w:rFonts w:cstheme="minorHAnsi"/>
                <w:sz w:val="18"/>
                <w:szCs w:val="18"/>
              </w:rPr>
              <w:t>Regional Meeting for Statistical Heads</w:t>
            </w:r>
            <w:r w:rsidR="00AB64C4">
              <w:rPr>
                <w:rFonts w:cstheme="minorHAnsi"/>
                <w:sz w:val="18"/>
                <w:szCs w:val="18"/>
              </w:rPr>
              <w:t xml:space="preserve"> (PSSC)</w:t>
            </w:r>
          </w:p>
        </w:tc>
      </w:tr>
      <w:tr w:rsidR="00AB797A" w:rsidRPr="00BD3C2D" w:rsidTr="00364E31">
        <w:trPr>
          <w:trHeight w:val="288"/>
        </w:trPr>
        <w:tc>
          <w:tcPr>
            <w:tcW w:w="1188" w:type="dxa"/>
            <w:tcBorders>
              <w:top w:val="nil"/>
              <w:left w:val="nil"/>
              <w:bottom w:val="nil"/>
            </w:tcBorders>
            <w:vAlign w:val="center"/>
          </w:tcPr>
          <w:p w:rsidR="00AB797A" w:rsidRPr="00BD3C2D" w:rsidRDefault="00AB797A" w:rsidP="00BD3C2D">
            <w:pPr>
              <w:jc w:val="both"/>
              <w:rPr>
                <w:rFonts w:cstheme="minorHAnsi"/>
                <w:sz w:val="18"/>
                <w:szCs w:val="18"/>
              </w:rPr>
            </w:pPr>
          </w:p>
        </w:tc>
        <w:tc>
          <w:tcPr>
            <w:tcW w:w="900" w:type="dxa"/>
            <w:vAlign w:val="center"/>
          </w:tcPr>
          <w:p w:rsidR="00AB797A" w:rsidRPr="00BD3C2D" w:rsidRDefault="003D7884" w:rsidP="00BD3C2D">
            <w:pPr>
              <w:jc w:val="both"/>
              <w:rPr>
                <w:rFonts w:cstheme="minorHAnsi"/>
                <w:sz w:val="18"/>
                <w:szCs w:val="18"/>
              </w:rPr>
            </w:pPr>
            <w:r w:rsidRPr="00BD3C2D">
              <w:rPr>
                <w:rFonts w:cstheme="minorHAnsi"/>
                <w:sz w:val="18"/>
                <w:szCs w:val="18"/>
              </w:rPr>
              <w:t>PNG</w:t>
            </w:r>
          </w:p>
        </w:tc>
        <w:tc>
          <w:tcPr>
            <w:tcW w:w="2880" w:type="dxa"/>
            <w:tcBorders>
              <w:right w:val="nil"/>
            </w:tcBorders>
            <w:vAlign w:val="center"/>
          </w:tcPr>
          <w:p w:rsidR="00AB797A" w:rsidRPr="00BD3C2D" w:rsidRDefault="003D7884" w:rsidP="00BD3C2D">
            <w:pPr>
              <w:rPr>
                <w:rFonts w:cstheme="minorHAnsi"/>
                <w:sz w:val="18"/>
                <w:szCs w:val="18"/>
              </w:rPr>
            </w:pPr>
            <w:r w:rsidRPr="00BD3C2D">
              <w:rPr>
                <w:rFonts w:cstheme="minorHAnsi"/>
                <w:sz w:val="18"/>
                <w:szCs w:val="18"/>
              </w:rPr>
              <w:t>Review</w:t>
            </w:r>
            <w:r w:rsidR="00AB64C4">
              <w:rPr>
                <w:rFonts w:cstheme="minorHAnsi"/>
                <w:sz w:val="18"/>
                <w:szCs w:val="18"/>
              </w:rPr>
              <w:t xml:space="preserve"> of</w:t>
            </w:r>
            <w:r w:rsidRPr="00BD3C2D">
              <w:rPr>
                <w:rFonts w:cstheme="minorHAnsi"/>
                <w:sz w:val="18"/>
                <w:szCs w:val="18"/>
              </w:rPr>
              <w:t xml:space="preserve"> methodology used to compile GDP estimates</w:t>
            </w:r>
          </w:p>
        </w:tc>
      </w:tr>
      <w:tr w:rsidR="006F7AF5" w:rsidRPr="00BD3C2D" w:rsidTr="00364E31">
        <w:trPr>
          <w:trHeight w:val="288"/>
        </w:trPr>
        <w:tc>
          <w:tcPr>
            <w:tcW w:w="1188" w:type="dxa"/>
            <w:tcBorders>
              <w:left w:val="nil"/>
              <w:bottom w:val="single" w:sz="4" w:space="0" w:color="auto"/>
            </w:tcBorders>
            <w:vAlign w:val="center"/>
          </w:tcPr>
          <w:p w:rsidR="006F7AF5" w:rsidRPr="00BD3C2D" w:rsidRDefault="006F7AF5" w:rsidP="006772FD">
            <w:pPr>
              <w:jc w:val="both"/>
              <w:rPr>
                <w:rFonts w:cstheme="minorHAnsi"/>
                <w:sz w:val="18"/>
                <w:szCs w:val="18"/>
              </w:rPr>
            </w:pPr>
            <w:r>
              <w:rPr>
                <w:rFonts w:cstheme="minorHAnsi"/>
                <w:sz w:val="18"/>
                <w:szCs w:val="18"/>
              </w:rPr>
              <w:t>Macro</w:t>
            </w:r>
          </w:p>
        </w:tc>
        <w:tc>
          <w:tcPr>
            <w:tcW w:w="900" w:type="dxa"/>
            <w:tcBorders>
              <w:bottom w:val="single" w:sz="4" w:space="0" w:color="auto"/>
            </w:tcBorders>
            <w:vAlign w:val="center"/>
          </w:tcPr>
          <w:p w:rsidR="006F7AF5" w:rsidRPr="00BD3C2D" w:rsidRDefault="006F7AF5" w:rsidP="006772FD">
            <w:pPr>
              <w:jc w:val="both"/>
              <w:rPr>
                <w:rFonts w:cstheme="minorHAnsi"/>
                <w:sz w:val="18"/>
                <w:szCs w:val="18"/>
              </w:rPr>
            </w:pPr>
            <w:r>
              <w:rPr>
                <w:rFonts w:cstheme="minorHAnsi"/>
                <w:sz w:val="18"/>
                <w:szCs w:val="18"/>
              </w:rPr>
              <w:t>PNG</w:t>
            </w:r>
          </w:p>
        </w:tc>
        <w:tc>
          <w:tcPr>
            <w:tcW w:w="2880" w:type="dxa"/>
            <w:tcBorders>
              <w:bottom w:val="single" w:sz="4" w:space="0" w:color="auto"/>
              <w:right w:val="nil"/>
            </w:tcBorders>
            <w:vAlign w:val="center"/>
          </w:tcPr>
          <w:p w:rsidR="006F7AF5" w:rsidRDefault="006F7AF5" w:rsidP="006772FD">
            <w:pPr>
              <w:rPr>
                <w:rFonts w:cstheme="minorHAnsi"/>
                <w:sz w:val="18"/>
                <w:szCs w:val="18"/>
              </w:rPr>
            </w:pPr>
            <w:r>
              <w:rPr>
                <w:rFonts w:cstheme="minorHAnsi"/>
                <w:sz w:val="18"/>
                <w:szCs w:val="18"/>
              </w:rPr>
              <w:t>Macroeconomic monitoring and forecasting framework</w:t>
            </w:r>
          </w:p>
        </w:tc>
      </w:tr>
      <w:tr w:rsidR="00364E31" w:rsidRPr="00BD3C2D" w:rsidTr="00364E31">
        <w:trPr>
          <w:trHeight w:val="288"/>
        </w:trPr>
        <w:tc>
          <w:tcPr>
            <w:tcW w:w="1188" w:type="dxa"/>
            <w:tcBorders>
              <w:left w:val="nil"/>
              <w:bottom w:val="single" w:sz="4" w:space="0" w:color="auto"/>
            </w:tcBorders>
            <w:vAlign w:val="center"/>
          </w:tcPr>
          <w:p w:rsidR="00364E31" w:rsidRPr="00BD3C2D" w:rsidRDefault="00364E31" w:rsidP="006772FD">
            <w:pPr>
              <w:jc w:val="both"/>
              <w:rPr>
                <w:rFonts w:cstheme="minorHAnsi"/>
                <w:sz w:val="18"/>
                <w:szCs w:val="18"/>
              </w:rPr>
            </w:pPr>
            <w:r w:rsidRPr="00BD3C2D">
              <w:rPr>
                <w:rFonts w:cstheme="minorHAnsi"/>
                <w:sz w:val="18"/>
                <w:szCs w:val="18"/>
              </w:rPr>
              <w:t>PFTAC/IMF</w:t>
            </w:r>
          </w:p>
        </w:tc>
        <w:tc>
          <w:tcPr>
            <w:tcW w:w="900" w:type="dxa"/>
            <w:tcBorders>
              <w:bottom w:val="single" w:sz="4" w:space="0" w:color="auto"/>
            </w:tcBorders>
            <w:vAlign w:val="center"/>
          </w:tcPr>
          <w:p w:rsidR="00364E31" w:rsidRPr="00BD3C2D" w:rsidRDefault="00364E31" w:rsidP="006772FD">
            <w:pPr>
              <w:jc w:val="both"/>
              <w:rPr>
                <w:rFonts w:cstheme="minorHAnsi"/>
                <w:sz w:val="18"/>
                <w:szCs w:val="18"/>
              </w:rPr>
            </w:pPr>
            <w:r w:rsidRPr="00BD3C2D">
              <w:rPr>
                <w:rFonts w:cstheme="minorHAnsi"/>
                <w:sz w:val="18"/>
                <w:szCs w:val="18"/>
              </w:rPr>
              <w:t>PNG</w:t>
            </w:r>
          </w:p>
        </w:tc>
        <w:tc>
          <w:tcPr>
            <w:tcW w:w="2880" w:type="dxa"/>
            <w:tcBorders>
              <w:bottom w:val="single" w:sz="4" w:space="0" w:color="auto"/>
              <w:right w:val="nil"/>
            </w:tcBorders>
            <w:vAlign w:val="center"/>
          </w:tcPr>
          <w:p w:rsidR="00364E31" w:rsidRPr="00BD3C2D" w:rsidRDefault="00364E31" w:rsidP="006772FD">
            <w:pPr>
              <w:rPr>
                <w:rFonts w:cstheme="minorHAnsi"/>
                <w:sz w:val="18"/>
                <w:szCs w:val="18"/>
              </w:rPr>
            </w:pPr>
            <w:r>
              <w:rPr>
                <w:rFonts w:cstheme="minorHAnsi"/>
                <w:sz w:val="18"/>
                <w:szCs w:val="18"/>
              </w:rPr>
              <w:t xml:space="preserve">South Pacific </w:t>
            </w:r>
            <w:r w:rsidRPr="00BD3C2D">
              <w:rPr>
                <w:rFonts w:cstheme="minorHAnsi"/>
                <w:sz w:val="18"/>
                <w:szCs w:val="18"/>
              </w:rPr>
              <w:t>Central Bank Governors’ meeting</w:t>
            </w:r>
          </w:p>
        </w:tc>
      </w:tr>
    </w:tbl>
    <w:p w:rsidR="00E236DA" w:rsidRDefault="00E236DA" w:rsidP="00BD3C2D">
      <w:pPr>
        <w:jc w:val="both"/>
        <w:rPr>
          <w:b/>
          <w:sz w:val="20"/>
          <w:szCs w:val="20"/>
        </w:rPr>
      </w:pPr>
    </w:p>
    <w:p w:rsidR="005352D5" w:rsidRPr="00BD3C2D" w:rsidRDefault="005352D5" w:rsidP="005352D5">
      <w:pPr>
        <w:jc w:val="both"/>
        <w:rPr>
          <w:rFonts w:cstheme="minorHAnsi"/>
          <w:b/>
          <w:color w:val="0070C0"/>
          <w:sz w:val="20"/>
          <w:szCs w:val="20"/>
        </w:rPr>
      </w:pPr>
      <w:r>
        <w:rPr>
          <w:rFonts w:cstheme="minorHAnsi"/>
          <w:b/>
          <w:color w:val="0070C0"/>
          <w:sz w:val="20"/>
          <w:szCs w:val="20"/>
        </w:rPr>
        <w:t>January</w:t>
      </w:r>
    </w:p>
    <w:tbl>
      <w:tblPr>
        <w:tblStyle w:val="TableGrid"/>
        <w:tblW w:w="0" w:type="auto"/>
        <w:tblBorders>
          <w:left w:val="none" w:sz="0" w:space="0" w:color="auto"/>
          <w:right w:val="none" w:sz="0" w:space="0" w:color="auto"/>
        </w:tblBorders>
        <w:tblLayout w:type="fixed"/>
        <w:tblLook w:val="04A0"/>
      </w:tblPr>
      <w:tblGrid>
        <w:gridCol w:w="1188"/>
        <w:gridCol w:w="900"/>
        <w:gridCol w:w="2880"/>
      </w:tblGrid>
      <w:tr w:rsidR="005352D5" w:rsidRPr="00BD3C2D" w:rsidTr="005352D5">
        <w:trPr>
          <w:trHeight w:val="288"/>
        </w:trPr>
        <w:tc>
          <w:tcPr>
            <w:tcW w:w="1188" w:type="dxa"/>
            <w:tcBorders>
              <w:bottom w:val="nil"/>
            </w:tcBorders>
            <w:vAlign w:val="center"/>
          </w:tcPr>
          <w:p w:rsidR="005352D5" w:rsidRPr="00BD3C2D" w:rsidRDefault="005352D5" w:rsidP="005352D5">
            <w:pPr>
              <w:jc w:val="both"/>
              <w:rPr>
                <w:rFonts w:cstheme="minorHAnsi"/>
                <w:sz w:val="18"/>
                <w:szCs w:val="18"/>
              </w:rPr>
            </w:pPr>
            <w:r>
              <w:rPr>
                <w:rFonts w:cstheme="minorHAnsi"/>
                <w:sz w:val="18"/>
                <w:szCs w:val="18"/>
              </w:rPr>
              <w:t>Tax</w:t>
            </w:r>
          </w:p>
        </w:tc>
        <w:tc>
          <w:tcPr>
            <w:tcW w:w="900" w:type="dxa"/>
            <w:tcBorders>
              <w:bottom w:val="single" w:sz="4" w:space="0" w:color="auto"/>
            </w:tcBorders>
            <w:vAlign w:val="center"/>
          </w:tcPr>
          <w:p w:rsidR="005352D5" w:rsidRPr="00BD3C2D" w:rsidRDefault="005352D5" w:rsidP="005352D5">
            <w:pPr>
              <w:jc w:val="both"/>
              <w:rPr>
                <w:rFonts w:cstheme="minorHAnsi"/>
                <w:sz w:val="18"/>
                <w:szCs w:val="18"/>
              </w:rPr>
            </w:pPr>
            <w:r>
              <w:rPr>
                <w:rFonts w:cstheme="minorHAnsi"/>
                <w:sz w:val="18"/>
                <w:szCs w:val="18"/>
              </w:rPr>
              <w:t>Tonga</w:t>
            </w:r>
          </w:p>
        </w:tc>
        <w:tc>
          <w:tcPr>
            <w:tcW w:w="2880" w:type="dxa"/>
            <w:tcBorders>
              <w:bottom w:val="single" w:sz="4" w:space="0" w:color="auto"/>
            </w:tcBorders>
            <w:vAlign w:val="center"/>
          </w:tcPr>
          <w:p w:rsidR="005352D5" w:rsidRDefault="005352D5" w:rsidP="005352D5">
            <w:pPr>
              <w:rPr>
                <w:rFonts w:cstheme="minorHAnsi"/>
                <w:i/>
                <w:color w:val="666633"/>
                <w:sz w:val="18"/>
                <w:szCs w:val="18"/>
              </w:rPr>
            </w:pPr>
            <w:r>
              <w:rPr>
                <w:rFonts w:cstheme="minorHAnsi"/>
                <w:sz w:val="18"/>
                <w:szCs w:val="18"/>
              </w:rPr>
              <w:t>Small Business Tax Implementation</w:t>
            </w:r>
          </w:p>
        </w:tc>
      </w:tr>
      <w:tr w:rsidR="005352D5" w:rsidRPr="00BD3C2D" w:rsidTr="005352D5">
        <w:trPr>
          <w:trHeight w:val="288"/>
        </w:trPr>
        <w:tc>
          <w:tcPr>
            <w:tcW w:w="1188" w:type="dxa"/>
            <w:tcBorders>
              <w:top w:val="nil"/>
              <w:bottom w:val="single" w:sz="4" w:space="0" w:color="auto"/>
            </w:tcBorders>
            <w:vAlign w:val="center"/>
          </w:tcPr>
          <w:p w:rsidR="005352D5" w:rsidRDefault="005352D5" w:rsidP="005352D5">
            <w:pPr>
              <w:jc w:val="both"/>
              <w:rPr>
                <w:rFonts w:cstheme="minorHAnsi"/>
                <w:sz w:val="18"/>
                <w:szCs w:val="18"/>
              </w:rPr>
            </w:pPr>
          </w:p>
        </w:tc>
        <w:tc>
          <w:tcPr>
            <w:tcW w:w="900" w:type="dxa"/>
            <w:tcBorders>
              <w:bottom w:val="single" w:sz="4" w:space="0" w:color="auto"/>
            </w:tcBorders>
            <w:vAlign w:val="center"/>
          </w:tcPr>
          <w:p w:rsidR="005352D5" w:rsidRDefault="005352D5" w:rsidP="005352D5">
            <w:pPr>
              <w:jc w:val="both"/>
              <w:rPr>
                <w:rFonts w:cstheme="minorHAnsi"/>
                <w:sz w:val="18"/>
                <w:szCs w:val="18"/>
              </w:rPr>
            </w:pPr>
            <w:r>
              <w:rPr>
                <w:rFonts w:cstheme="minorHAnsi"/>
                <w:sz w:val="18"/>
                <w:szCs w:val="18"/>
              </w:rPr>
              <w:t>Palau</w:t>
            </w:r>
          </w:p>
        </w:tc>
        <w:tc>
          <w:tcPr>
            <w:tcW w:w="2880" w:type="dxa"/>
            <w:tcBorders>
              <w:bottom w:val="single" w:sz="4" w:space="0" w:color="auto"/>
            </w:tcBorders>
            <w:vAlign w:val="center"/>
          </w:tcPr>
          <w:p w:rsidR="005352D5" w:rsidRDefault="005352D5" w:rsidP="005352D5">
            <w:pPr>
              <w:rPr>
                <w:rFonts w:cstheme="minorHAnsi"/>
                <w:sz w:val="18"/>
                <w:szCs w:val="18"/>
              </w:rPr>
            </w:pPr>
            <w:r>
              <w:rPr>
                <w:rFonts w:cstheme="minorHAnsi"/>
                <w:sz w:val="18"/>
                <w:szCs w:val="18"/>
              </w:rPr>
              <w:t>Public Consultation on VAT</w:t>
            </w:r>
          </w:p>
        </w:tc>
      </w:tr>
      <w:tr w:rsidR="005352D5" w:rsidRPr="00BD3C2D" w:rsidTr="005352D5">
        <w:trPr>
          <w:trHeight w:val="288"/>
        </w:trPr>
        <w:tc>
          <w:tcPr>
            <w:tcW w:w="1188" w:type="dxa"/>
            <w:tcBorders>
              <w:top w:val="single" w:sz="4" w:space="0" w:color="auto"/>
            </w:tcBorders>
            <w:vAlign w:val="center"/>
          </w:tcPr>
          <w:p w:rsidR="005352D5" w:rsidRDefault="005352D5" w:rsidP="005352D5">
            <w:pPr>
              <w:jc w:val="both"/>
              <w:rPr>
                <w:rFonts w:cstheme="minorHAnsi"/>
                <w:sz w:val="18"/>
                <w:szCs w:val="18"/>
              </w:rPr>
            </w:pPr>
            <w:r>
              <w:rPr>
                <w:rFonts w:cstheme="minorHAnsi"/>
                <w:sz w:val="18"/>
                <w:szCs w:val="18"/>
              </w:rPr>
              <w:t>Statistics</w:t>
            </w:r>
          </w:p>
        </w:tc>
        <w:tc>
          <w:tcPr>
            <w:tcW w:w="900" w:type="dxa"/>
            <w:tcBorders>
              <w:top w:val="single" w:sz="4" w:space="0" w:color="auto"/>
            </w:tcBorders>
            <w:vAlign w:val="center"/>
          </w:tcPr>
          <w:p w:rsidR="005352D5" w:rsidRDefault="005352D5" w:rsidP="005352D5">
            <w:pPr>
              <w:jc w:val="both"/>
              <w:rPr>
                <w:rFonts w:cstheme="minorHAnsi"/>
                <w:sz w:val="18"/>
                <w:szCs w:val="18"/>
              </w:rPr>
            </w:pPr>
            <w:r>
              <w:rPr>
                <w:rFonts w:cstheme="minorHAnsi"/>
                <w:sz w:val="18"/>
                <w:szCs w:val="18"/>
              </w:rPr>
              <w:t>Tonga</w:t>
            </w:r>
          </w:p>
        </w:tc>
        <w:tc>
          <w:tcPr>
            <w:tcW w:w="2880" w:type="dxa"/>
            <w:tcBorders>
              <w:top w:val="single" w:sz="4" w:space="0" w:color="auto"/>
            </w:tcBorders>
            <w:vAlign w:val="center"/>
          </w:tcPr>
          <w:p w:rsidR="005352D5" w:rsidRDefault="005352D5" w:rsidP="005352D5">
            <w:pPr>
              <w:rPr>
                <w:rFonts w:cstheme="minorHAnsi"/>
                <w:sz w:val="18"/>
                <w:szCs w:val="18"/>
              </w:rPr>
            </w:pPr>
            <w:r>
              <w:rPr>
                <w:rFonts w:cstheme="minorHAnsi"/>
                <w:sz w:val="18"/>
                <w:szCs w:val="18"/>
              </w:rPr>
              <w:t>Improving National Accounts Statistics</w:t>
            </w:r>
          </w:p>
        </w:tc>
      </w:tr>
    </w:tbl>
    <w:p w:rsidR="006F7AF5" w:rsidRDefault="006F7AF5" w:rsidP="00BD3C2D">
      <w:pPr>
        <w:jc w:val="both"/>
        <w:rPr>
          <w:b/>
          <w:sz w:val="20"/>
          <w:szCs w:val="20"/>
        </w:rPr>
      </w:pPr>
    </w:p>
    <w:p w:rsidR="006F7AF5" w:rsidRDefault="006F7AF5" w:rsidP="00BD3C2D">
      <w:pPr>
        <w:jc w:val="both"/>
        <w:rPr>
          <w:b/>
          <w:sz w:val="20"/>
          <w:szCs w:val="20"/>
        </w:rPr>
      </w:pPr>
    </w:p>
    <w:p w:rsidR="006F7AF5" w:rsidRDefault="006F7AF5" w:rsidP="00704922">
      <w:pPr>
        <w:jc w:val="both"/>
        <w:rPr>
          <w:rFonts w:cstheme="minorHAnsi"/>
          <w:b/>
          <w:color w:val="0070C0"/>
          <w:sz w:val="20"/>
          <w:szCs w:val="20"/>
        </w:rPr>
      </w:pPr>
    </w:p>
    <w:p w:rsidR="006F7AF5" w:rsidRDefault="006F7AF5" w:rsidP="00704922">
      <w:pPr>
        <w:jc w:val="both"/>
        <w:rPr>
          <w:rFonts w:cstheme="minorHAnsi"/>
          <w:b/>
          <w:color w:val="0070C0"/>
          <w:sz w:val="20"/>
          <w:szCs w:val="20"/>
        </w:rPr>
      </w:pPr>
    </w:p>
    <w:p w:rsidR="006F7AF5" w:rsidRDefault="006F7AF5" w:rsidP="00704922">
      <w:pPr>
        <w:jc w:val="both"/>
        <w:rPr>
          <w:rFonts w:cstheme="minorHAnsi"/>
          <w:b/>
          <w:color w:val="0070C0"/>
          <w:sz w:val="20"/>
          <w:szCs w:val="20"/>
        </w:rPr>
      </w:pPr>
    </w:p>
    <w:p w:rsidR="006F7AF5" w:rsidRDefault="006F7AF5" w:rsidP="00704922">
      <w:pPr>
        <w:jc w:val="both"/>
        <w:rPr>
          <w:rFonts w:cstheme="minorHAnsi"/>
          <w:b/>
          <w:color w:val="0070C0"/>
          <w:sz w:val="20"/>
          <w:szCs w:val="20"/>
        </w:rPr>
      </w:pPr>
    </w:p>
    <w:p w:rsidR="006F7AF5" w:rsidRDefault="006F7AF5" w:rsidP="00704922">
      <w:pPr>
        <w:jc w:val="both"/>
        <w:rPr>
          <w:rFonts w:cstheme="minorHAnsi"/>
          <w:b/>
          <w:color w:val="0070C0"/>
          <w:sz w:val="20"/>
          <w:szCs w:val="20"/>
        </w:rPr>
      </w:pPr>
    </w:p>
    <w:p w:rsidR="006F7AF5" w:rsidRDefault="006F7AF5" w:rsidP="00704922">
      <w:pPr>
        <w:jc w:val="both"/>
        <w:rPr>
          <w:rFonts w:cstheme="minorHAnsi"/>
          <w:b/>
          <w:color w:val="0070C0"/>
          <w:sz w:val="20"/>
          <w:szCs w:val="20"/>
        </w:rPr>
      </w:pPr>
    </w:p>
    <w:p w:rsidR="006F7AF5" w:rsidRDefault="006F7AF5" w:rsidP="00704922">
      <w:pPr>
        <w:jc w:val="both"/>
        <w:rPr>
          <w:rFonts w:cstheme="minorHAnsi"/>
          <w:b/>
          <w:color w:val="0070C0"/>
          <w:sz w:val="20"/>
          <w:szCs w:val="20"/>
        </w:rPr>
      </w:pPr>
    </w:p>
    <w:tbl>
      <w:tblPr>
        <w:tblStyle w:val="TableGrid"/>
        <w:tblW w:w="5065" w:type="dxa"/>
        <w:tblBorders>
          <w:insideH w:val="none" w:sz="0" w:space="0" w:color="auto"/>
          <w:insideV w:val="none" w:sz="0" w:space="0" w:color="auto"/>
        </w:tblBorders>
        <w:tblLook w:val="04A0"/>
      </w:tblPr>
      <w:tblGrid>
        <w:gridCol w:w="4082"/>
        <w:gridCol w:w="983"/>
      </w:tblGrid>
      <w:tr w:rsidR="00E236DA" w:rsidTr="00E67599">
        <w:trPr>
          <w:trHeight w:val="333"/>
        </w:trPr>
        <w:tc>
          <w:tcPr>
            <w:tcW w:w="4082" w:type="dxa"/>
            <w:shd w:val="clear" w:color="auto" w:fill="auto"/>
          </w:tcPr>
          <w:p w:rsidR="00E236DA" w:rsidRPr="00BD3C2D" w:rsidRDefault="00E236DA" w:rsidP="00BD3C2D">
            <w:pPr>
              <w:jc w:val="both"/>
              <w:rPr>
                <w:b/>
                <w:color w:val="00B050"/>
                <w:sz w:val="28"/>
                <w:szCs w:val="28"/>
              </w:rPr>
            </w:pPr>
            <w:r w:rsidRPr="00BD3C2D">
              <w:rPr>
                <w:rFonts w:cs="Lucida Sans Unicode"/>
                <w:b/>
                <w:smallCaps/>
                <w:color w:val="00B050"/>
                <w:sz w:val="28"/>
                <w:szCs w:val="28"/>
              </w:rPr>
              <w:t>In this Issue</w:t>
            </w:r>
          </w:p>
        </w:tc>
        <w:tc>
          <w:tcPr>
            <w:tcW w:w="983" w:type="dxa"/>
            <w:shd w:val="clear" w:color="auto" w:fill="auto"/>
          </w:tcPr>
          <w:p w:rsidR="00E236DA" w:rsidRDefault="00E236DA" w:rsidP="00BD3C2D">
            <w:pPr>
              <w:jc w:val="both"/>
            </w:pPr>
          </w:p>
        </w:tc>
      </w:tr>
      <w:tr w:rsidR="00E236DA" w:rsidRPr="00885F5B" w:rsidTr="00E67599">
        <w:trPr>
          <w:trHeight w:val="238"/>
        </w:trPr>
        <w:tc>
          <w:tcPr>
            <w:tcW w:w="4082" w:type="dxa"/>
            <w:shd w:val="clear" w:color="auto" w:fill="auto"/>
          </w:tcPr>
          <w:p w:rsidR="00E236DA" w:rsidRPr="00BD3C2D" w:rsidRDefault="00E236DA" w:rsidP="00BD3C2D">
            <w:pPr>
              <w:jc w:val="both"/>
              <w:rPr>
                <w:rFonts w:cstheme="minorHAnsi"/>
                <w:color w:val="0070C0"/>
                <w:sz w:val="20"/>
                <w:szCs w:val="20"/>
              </w:rPr>
            </w:pPr>
            <w:r w:rsidRPr="00BD3C2D">
              <w:rPr>
                <w:rFonts w:cstheme="minorHAnsi"/>
                <w:color w:val="0070C0"/>
                <w:sz w:val="20"/>
                <w:szCs w:val="20"/>
              </w:rPr>
              <w:t>Recent &amp; Upcoming TA Missions</w:t>
            </w:r>
          </w:p>
        </w:tc>
        <w:tc>
          <w:tcPr>
            <w:tcW w:w="983" w:type="dxa"/>
            <w:shd w:val="clear" w:color="auto" w:fill="auto"/>
          </w:tcPr>
          <w:p w:rsidR="00E236DA" w:rsidRPr="00BD3C2D" w:rsidRDefault="00E236DA" w:rsidP="00BD3C2D">
            <w:pPr>
              <w:jc w:val="both"/>
              <w:rPr>
                <w:rFonts w:cstheme="minorHAnsi"/>
                <w:color w:val="0070C0"/>
                <w:sz w:val="20"/>
                <w:szCs w:val="20"/>
              </w:rPr>
            </w:pPr>
            <w:r w:rsidRPr="00BD3C2D">
              <w:rPr>
                <w:rFonts w:cstheme="minorHAnsi"/>
                <w:color w:val="0070C0"/>
                <w:sz w:val="20"/>
                <w:szCs w:val="20"/>
              </w:rPr>
              <w:t>1</w:t>
            </w:r>
          </w:p>
        </w:tc>
      </w:tr>
      <w:tr w:rsidR="00E236DA" w:rsidRPr="00885F5B" w:rsidTr="00E67599">
        <w:trPr>
          <w:trHeight w:val="238"/>
        </w:trPr>
        <w:tc>
          <w:tcPr>
            <w:tcW w:w="4082" w:type="dxa"/>
            <w:shd w:val="clear" w:color="auto" w:fill="auto"/>
          </w:tcPr>
          <w:p w:rsidR="00E236DA" w:rsidRPr="00BD3C2D" w:rsidRDefault="00E236DA" w:rsidP="00305253">
            <w:pPr>
              <w:jc w:val="both"/>
              <w:rPr>
                <w:rFonts w:cstheme="minorHAnsi"/>
                <w:color w:val="0070C0"/>
                <w:sz w:val="20"/>
                <w:szCs w:val="20"/>
              </w:rPr>
            </w:pPr>
            <w:r w:rsidRPr="00BD3C2D">
              <w:rPr>
                <w:rFonts w:cstheme="minorHAnsi"/>
                <w:color w:val="0070C0"/>
                <w:sz w:val="20"/>
                <w:szCs w:val="20"/>
              </w:rPr>
              <w:t>Meetings</w:t>
            </w:r>
            <w:r w:rsidR="00305253">
              <w:rPr>
                <w:rFonts w:cstheme="minorHAnsi"/>
                <w:color w:val="0070C0"/>
                <w:sz w:val="20"/>
                <w:szCs w:val="20"/>
              </w:rPr>
              <w:t>,</w:t>
            </w:r>
            <w:r w:rsidRPr="00BD3C2D">
              <w:rPr>
                <w:rFonts w:cstheme="minorHAnsi"/>
                <w:color w:val="0070C0"/>
                <w:sz w:val="20"/>
                <w:szCs w:val="20"/>
              </w:rPr>
              <w:t xml:space="preserve"> Seminars &amp; Workshops</w:t>
            </w:r>
          </w:p>
        </w:tc>
        <w:tc>
          <w:tcPr>
            <w:tcW w:w="983" w:type="dxa"/>
            <w:shd w:val="clear" w:color="auto" w:fill="auto"/>
          </w:tcPr>
          <w:p w:rsidR="00E236DA" w:rsidRPr="00BD3C2D" w:rsidRDefault="00E236DA" w:rsidP="00BD3C2D">
            <w:pPr>
              <w:jc w:val="both"/>
              <w:rPr>
                <w:rFonts w:cstheme="minorHAnsi"/>
                <w:color w:val="0070C0"/>
                <w:sz w:val="20"/>
                <w:szCs w:val="20"/>
              </w:rPr>
            </w:pPr>
            <w:r w:rsidRPr="00BD3C2D">
              <w:rPr>
                <w:rFonts w:cstheme="minorHAnsi"/>
                <w:color w:val="0070C0"/>
                <w:sz w:val="20"/>
                <w:szCs w:val="20"/>
              </w:rPr>
              <w:t>1</w:t>
            </w:r>
          </w:p>
        </w:tc>
      </w:tr>
      <w:tr w:rsidR="00AB64C4" w:rsidRPr="00885F5B" w:rsidTr="00E67599">
        <w:trPr>
          <w:trHeight w:val="254"/>
        </w:trPr>
        <w:tc>
          <w:tcPr>
            <w:tcW w:w="4082" w:type="dxa"/>
            <w:shd w:val="clear" w:color="auto" w:fill="auto"/>
          </w:tcPr>
          <w:p w:rsidR="00AB64C4" w:rsidRPr="00BD3C2D" w:rsidRDefault="00AB64C4" w:rsidP="005F316A">
            <w:pPr>
              <w:jc w:val="both"/>
              <w:rPr>
                <w:rFonts w:cstheme="minorHAnsi"/>
                <w:color w:val="0070C0"/>
                <w:sz w:val="20"/>
                <w:szCs w:val="20"/>
              </w:rPr>
            </w:pPr>
            <w:r>
              <w:rPr>
                <w:rFonts w:cstheme="minorHAnsi"/>
                <w:color w:val="0070C0"/>
                <w:sz w:val="20"/>
                <w:szCs w:val="20"/>
              </w:rPr>
              <w:t xml:space="preserve">TA Issues: </w:t>
            </w:r>
            <w:r w:rsidR="008D49F7" w:rsidRPr="008D49F7">
              <w:rPr>
                <w:rFonts w:cstheme="minorHAnsi"/>
                <w:color w:val="0070C0"/>
                <w:sz w:val="20"/>
                <w:szCs w:val="20"/>
              </w:rPr>
              <w:t xml:space="preserve">VAT </w:t>
            </w:r>
            <w:r w:rsidR="005F316A">
              <w:rPr>
                <w:rFonts w:cstheme="minorHAnsi"/>
                <w:color w:val="0070C0"/>
                <w:sz w:val="20"/>
                <w:szCs w:val="20"/>
              </w:rPr>
              <w:t>as</w:t>
            </w:r>
            <w:r w:rsidR="008D49F7" w:rsidRPr="008D49F7">
              <w:rPr>
                <w:rFonts w:cstheme="minorHAnsi"/>
                <w:color w:val="0070C0"/>
                <w:sz w:val="20"/>
                <w:szCs w:val="20"/>
              </w:rPr>
              <w:t xml:space="preserve"> </w:t>
            </w:r>
            <w:r w:rsidR="005F316A">
              <w:rPr>
                <w:rFonts w:cstheme="minorHAnsi"/>
                <w:color w:val="0070C0"/>
                <w:sz w:val="20"/>
                <w:szCs w:val="20"/>
              </w:rPr>
              <w:t>a</w:t>
            </w:r>
            <w:r w:rsidR="008D49F7" w:rsidRPr="008D49F7">
              <w:rPr>
                <w:rFonts w:cstheme="minorHAnsi"/>
                <w:color w:val="0070C0"/>
                <w:sz w:val="20"/>
                <w:szCs w:val="20"/>
              </w:rPr>
              <w:t xml:space="preserve"> </w:t>
            </w:r>
            <w:r w:rsidR="005F316A">
              <w:rPr>
                <w:rFonts w:cstheme="minorHAnsi"/>
                <w:color w:val="0070C0"/>
                <w:sz w:val="20"/>
                <w:szCs w:val="20"/>
              </w:rPr>
              <w:t>data</w:t>
            </w:r>
            <w:r w:rsidR="008D49F7" w:rsidRPr="008D49F7">
              <w:rPr>
                <w:rFonts w:cstheme="minorHAnsi"/>
                <w:color w:val="0070C0"/>
                <w:sz w:val="20"/>
                <w:szCs w:val="20"/>
              </w:rPr>
              <w:t xml:space="preserve"> </w:t>
            </w:r>
            <w:r w:rsidR="005F316A">
              <w:rPr>
                <w:rFonts w:cstheme="minorHAnsi"/>
                <w:color w:val="0070C0"/>
                <w:sz w:val="20"/>
                <w:szCs w:val="20"/>
              </w:rPr>
              <w:t xml:space="preserve">source for national accounts </w:t>
            </w:r>
          </w:p>
        </w:tc>
        <w:tc>
          <w:tcPr>
            <w:tcW w:w="983" w:type="dxa"/>
            <w:shd w:val="clear" w:color="auto" w:fill="auto"/>
          </w:tcPr>
          <w:p w:rsidR="00AB64C4" w:rsidRPr="00BD3C2D" w:rsidRDefault="00AB64C4" w:rsidP="00BD3C2D">
            <w:pPr>
              <w:jc w:val="both"/>
              <w:rPr>
                <w:rFonts w:cstheme="minorHAnsi"/>
                <w:color w:val="0070C0"/>
                <w:sz w:val="20"/>
                <w:szCs w:val="20"/>
              </w:rPr>
            </w:pPr>
            <w:r>
              <w:rPr>
                <w:rFonts w:cstheme="minorHAnsi"/>
                <w:color w:val="0070C0"/>
                <w:sz w:val="20"/>
                <w:szCs w:val="20"/>
              </w:rPr>
              <w:t>2</w:t>
            </w:r>
          </w:p>
        </w:tc>
      </w:tr>
      <w:tr w:rsidR="00E236DA" w:rsidRPr="00885F5B" w:rsidTr="00E67599">
        <w:trPr>
          <w:trHeight w:val="254"/>
        </w:trPr>
        <w:tc>
          <w:tcPr>
            <w:tcW w:w="4082" w:type="dxa"/>
            <w:shd w:val="clear" w:color="auto" w:fill="auto"/>
          </w:tcPr>
          <w:p w:rsidR="00E236DA" w:rsidRPr="00BD3C2D" w:rsidRDefault="00E236DA" w:rsidP="00BD3C2D">
            <w:pPr>
              <w:jc w:val="both"/>
              <w:rPr>
                <w:rFonts w:cstheme="minorHAnsi"/>
                <w:color w:val="0070C0"/>
                <w:sz w:val="20"/>
                <w:szCs w:val="20"/>
              </w:rPr>
            </w:pPr>
            <w:r w:rsidRPr="00BD3C2D">
              <w:rPr>
                <w:rFonts w:cstheme="minorHAnsi"/>
                <w:color w:val="0070C0"/>
                <w:sz w:val="20"/>
                <w:szCs w:val="20"/>
              </w:rPr>
              <w:t xml:space="preserve">Country TA Strategies : </w:t>
            </w:r>
            <w:r w:rsidR="00B11743">
              <w:rPr>
                <w:rFonts w:cstheme="minorHAnsi"/>
                <w:color w:val="0070C0"/>
                <w:sz w:val="20"/>
                <w:szCs w:val="20"/>
              </w:rPr>
              <w:t>Vanuatu</w:t>
            </w:r>
          </w:p>
        </w:tc>
        <w:tc>
          <w:tcPr>
            <w:tcW w:w="983" w:type="dxa"/>
            <w:shd w:val="clear" w:color="auto" w:fill="auto"/>
          </w:tcPr>
          <w:p w:rsidR="00E236DA" w:rsidRPr="00BD3C2D" w:rsidRDefault="00E236DA" w:rsidP="00BD3C2D">
            <w:pPr>
              <w:jc w:val="both"/>
              <w:rPr>
                <w:rFonts w:cstheme="minorHAnsi"/>
                <w:color w:val="0070C0"/>
                <w:sz w:val="20"/>
                <w:szCs w:val="20"/>
              </w:rPr>
            </w:pPr>
            <w:r w:rsidRPr="00BD3C2D">
              <w:rPr>
                <w:rFonts w:cstheme="minorHAnsi"/>
                <w:color w:val="0070C0"/>
                <w:sz w:val="20"/>
                <w:szCs w:val="20"/>
              </w:rPr>
              <w:t>3</w:t>
            </w:r>
          </w:p>
        </w:tc>
      </w:tr>
    </w:tbl>
    <w:p w:rsidR="00BE302D" w:rsidRDefault="00BE302D" w:rsidP="00BD3C2D">
      <w:pPr>
        <w:jc w:val="both"/>
        <w:rPr>
          <w:b/>
          <w:sz w:val="20"/>
          <w:szCs w:val="20"/>
        </w:rPr>
      </w:pPr>
    </w:p>
    <w:p w:rsidR="006F7AF5" w:rsidRDefault="006F7AF5" w:rsidP="006F7AF5">
      <w:pPr>
        <w:jc w:val="both"/>
        <w:rPr>
          <w:b/>
          <w:sz w:val="20"/>
          <w:szCs w:val="20"/>
        </w:rPr>
      </w:pPr>
    </w:p>
    <w:p w:rsidR="00086742" w:rsidRPr="00BD3C2D" w:rsidRDefault="00885F5B" w:rsidP="00BD3C2D">
      <w:pPr>
        <w:jc w:val="both"/>
        <w:rPr>
          <w:rFonts w:cs="Lucida Sans Unicode"/>
          <w:b/>
          <w:smallCaps/>
          <w:color w:val="00B050"/>
          <w:sz w:val="28"/>
          <w:szCs w:val="28"/>
        </w:rPr>
      </w:pPr>
      <w:r w:rsidRPr="00BD3C2D">
        <w:rPr>
          <w:rFonts w:cs="Lucida Sans Unicode"/>
          <w:b/>
          <w:smallCaps/>
          <w:color w:val="00B050"/>
          <w:sz w:val="28"/>
          <w:szCs w:val="28"/>
        </w:rPr>
        <w:t>Meetings, Seminars &amp; Workshops</w:t>
      </w:r>
    </w:p>
    <w:p w:rsidR="00885F5B" w:rsidRDefault="00885F5B" w:rsidP="00BD3C2D">
      <w:pPr>
        <w:jc w:val="both"/>
      </w:pPr>
    </w:p>
    <w:p w:rsidR="007F3422" w:rsidRDefault="00A277D9" w:rsidP="00960665">
      <w:pPr>
        <w:jc w:val="both"/>
        <w:rPr>
          <w:rFonts w:cs="Lucida Sans Unicode"/>
          <w:b/>
          <w:smallCaps/>
          <w:color w:val="0070C0"/>
          <w:sz w:val="22"/>
          <w:szCs w:val="22"/>
        </w:rPr>
      </w:pPr>
      <w:r>
        <w:rPr>
          <w:rFonts w:cs="Lucida Sans Unicode"/>
          <w:b/>
          <w:smallCaps/>
          <w:color w:val="0070C0"/>
          <w:sz w:val="22"/>
          <w:szCs w:val="22"/>
        </w:rPr>
        <w:t>Sub-</w:t>
      </w:r>
      <w:r w:rsidR="007A4097">
        <w:rPr>
          <w:rFonts w:cs="Lucida Sans Unicode"/>
          <w:b/>
          <w:smallCaps/>
          <w:color w:val="0070C0"/>
          <w:sz w:val="22"/>
          <w:szCs w:val="22"/>
        </w:rPr>
        <w:t xml:space="preserve">Regional Training </w:t>
      </w:r>
      <w:r>
        <w:rPr>
          <w:rFonts w:cs="Lucida Sans Unicode"/>
          <w:b/>
          <w:smallCaps/>
          <w:color w:val="0070C0"/>
          <w:sz w:val="22"/>
          <w:szCs w:val="22"/>
        </w:rPr>
        <w:t xml:space="preserve">Course </w:t>
      </w:r>
      <w:r w:rsidR="007A4097">
        <w:rPr>
          <w:rFonts w:cs="Lucida Sans Unicode"/>
          <w:b/>
          <w:smallCaps/>
          <w:color w:val="0070C0"/>
          <w:sz w:val="22"/>
          <w:szCs w:val="22"/>
        </w:rPr>
        <w:t xml:space="preserve">on National Accounts, </w:t>
      </w:r>
      <w:proofErr w:type="spellStart"/>
      <w:r w:rsidR="005352D5">
        <w:rPr>
          <w:rFonts w:cs="Lucida Sans Unicode"/>
          <w:b/>
          <w:smallCaps/>
          <w:color w:val="0070C0"/>
          <w:sz w:val="22"/>
          <w:szCs w:val="22"/>
        </w:rPr>
        <w:t>Pohnpei</w:t>
      </w:r>
      <w:proofErr w:type="spellEnd"/>
      <w:r w:rsidR="005352D5">
        <w:rPr>
          <w:rFonts w:cs="Lucida Sans Unicode"/>
          <w:b/>
          <w:smallCaps/>
          <w:color w:val="0070C0"/>
          <w:sz w:val="22"/>
          <w:szCs w:val="22"/>
        </w:rPr>
        <w:t>, FSM,</w:t>
      </w:r>
      <w:r w:rsidR="007A4097">
        <w:rPr>
          <w:rFonts w:cs="Lucida Sans Unicode"/>
          <w:b/>
          <w:smallCaps/>
          <w:color w:val="0070C0"/>
          <w:sz w:val="22"/>
          <w:szCs w:val="22"/>
        </w:rPr>
        <w:t xml:space="preserve"> 4-8 November</w:t>
      </w:r>
      <w:r w:rsidR="00780835">
        <w:rPr>
          <w:rFonts w:cs="Lucida Sans Unicode"/>
          <w:b/>
          <w:smallCaps/>
          <w:color w:val="0070C0"/>
          <w:sz w:val="22"/>
          <w:szCs w:val="22"/>
        </w:rPr>
        <w:t xml:space="preserve"> </w:t>
      </w:r>
    </w:p>
    <w:p w:rsidR="005352D5" w:rsidRPr="005352D5" w:rsidRDefault="008D49F7" w:rsidP="00960665">
      <w:pPr>
        <w:jc w:val="both"/>
        <w:rPr>
          <w:rFonts w:asciiTheme="minorHAnsi" w:hAnsiTheme="minorHAnsi" w:cstheme="minorHAnsi"/>
          <w:sz w:val="20"/>
          <w:szCs w:val="20"/>
        </w:rPr>
      </w:pPr>
      <w:r>
        <w:rPr>
          <w:rFonts w:asciiTheme="minorHAnsi" w:hAnsiTheme="minorHAnsi" w:cstheme="minorHAnsi"/>
          <w:sz w:val="20"/>
          <w:szCs w:val="20"/>
        </w:rPr>
        <w:t xml:space="preserve">The workshop, attended by 11 participants from FSM, RMI, and Palau, was conducted by statistics advisors </w:t>
      </w:r>
      <w:r w:rsidRPr="005352D5">
        <w:rPr>
          <w:rFonts w:asciiTheme="minorHAnsi" w:hAnsiTheme="minorHAnsi" w:cstheme="minorHAnsi"/>
          <w:color w:val="00B050"/>
          <w:sz w:val="20"/>
          <w:szCs w:val="20"/>
        </w:rPr>
        <w:t xml:space="preserve">Russel Freeman </w:t>
      </w:r>
      <w:r>
        <w:rPr>
          <w:rFonts w:asciiTheme="minorHAnsi" w:hAnsiTheme="minorHAnsi" w:cstheme="minorHAnsi"/>
          <w:sz w:val="20"/>
          <w:szCs w:val="20"/>
        </w:rPr>
        <w:t xml:space="preserve">and </w:t>
      </w:r>
      <w:r w:rsidRPr="005352D5">
        <w:rPr>
          <w:rFonts w:asciiTheme="minorHAnsi" w:hAnsiTheme="minorHAnsi" w:cstheme="minorHAnsi"/>
          <w:color w:val="00B050"/>
          <w:sz w:val="20"/>
          <w:szCs w:val="20"/>
        </w:rPr>
        <w:t>Greg Legoff</w:t>
      </w:r>
      <w:r>
        <w:rPr>
          <w:rFonts w:asciiTheme="minorHAnsi" w:hAnsiTheme="minorHAnsi" w:cstheme="minorHAnsi"/>
          <w:sz w:val="20"/>
          <w:szCs w:val="20"/>
        </w:rPr>
        <w:t xml:space="preserve">. Topics covered included </w:t>
      </w:r>
      <w:r w:rsidRPr="008D49F7">
        <w:rPr>
          <w:rFonts w:asciiTheme="minorHAnsi" w:hAnsiTheme="minorHAnsi" w:cstheme="minorHAnsi"/>
          <w:sz w:val="20"/>
          <w:szCs w:val="20"/>
        </w:rPr>
        <w:t>an overview of national accounts; production accounts; commodity flow and price and volume measures; methodology currently being implemented in the region; linkages with government finance and external sector statistics; and the use of administrative data.</w:t>
      </w:r>
    </w:p>
    <w:p w:rsidR="005352D5" w:rsidRPr="005352D5" w:rsidRDefault="005352D5" w:rsidP="00960665">
      <w:pPr>
        <w:jc w:val="both"/>
        <w:rPr>
          <w:rFonts w:asciiTheme="minorHAnsi" w:hAnsiTheme="minorHAnsi" w:cstheme="minorHAnsi"/>
          <w:sz w:val="20"/>
          <w:szCs w:val="20"/>
        </w:rPr>
      </w:pPr>
    </w:p>
    <w:p w:rsidR="007F3422" w:rsidRDefault="005352D5" w:rsidP="00960665">
      <w:pPr>
        <w:jc w:val="both"/>
        <w:rPr>
          <w:rFonts w:cs="Lucida Sans Unicode"/>
          <w:b/>
          <w:smallCaps/>
          <w:color w:val="0070C0"/>
          <w:sz w:val="22"/>
          <w:szCs w:val="22"/>
        </w:rPr>
      </w:pPr>
      <w:r w:rsidRPr="005352D5">
        <w:rPr>
          <w:rFonts w:cs="Lucida Sans Unicode"/>
          <w:b/>
          <w:smallCaps/>
          <w:color w:val="0070C0"/>
          <w:sz w:val="22"/>
          <w:szCs w:val="22"/>
        </w:rPr>
        <w:t>PFTAC Steering Committee and IMF Pacific Islands Conference</w:t>
      </w:r>
      <w:r>
        <w:rPr>
          <w:rFonts w:cs="Lucida Sans Unicode"/>
          <w:b/>
          <w:smallCaps/>
          <w:color w:val="0070C0"/>
          <w:sz w:val="22"/>
          <w:szCs w:val="22"/>
        </w:rPr>
        <w:t>, Port Vila, 21-22 November</w:t>
      </w:r>
    </w:p>
    <w:p w:rsidR="0035434D" w:rsidRDefault="005F316A" w:rsidP="00960665">
      <w:pPr>
        <w:jc w:val="both"/>
        <w:rPr>
          <w:rFonts w:asciiTheme="minorHAnsi" w:hAnsiTheme="minorHAnsi" w:cstheme="minorHAnsi"/>
          <w:sz w:val="20"/>
          <w:szCs w:val="20"/>
        </w:rPr>
      </w:pPr>
      <w:r>
        <w:rPr>
          <w:rFonts w:asciiTheme="minorHAnsi" w:hAnsiTheme="minorHAnsi" w:cstheme="minorHAnsi"/>
          <w:sz w:val="20"/>
          <w:szCs w:val="20"/>
        </w:rPr>
        <w:t xml:space="preserve">PFTAC staff, in collaboration with the Vanuatu authorities, hosted the 2013 Steering Committee meeting, in which the 2013 Annual Report was presented, and the work program and related issues wire discussed. Details and presentations are posted on the PFTAC website </w:t>
      </w:r>
      <w:hyperlink r:id="rId8" w:history="1">
        <w:r w:rsidRPr="00991400">
          <w:rPr>
            <w:rStyle w:val="Hyperlink"/>
            <w:rFonts w:asciiTheme="minorHAnsi" w:hAnsiTheme="minorHAnsi" w:cstheme="minorHAnsi"/>
            <w:color w:val="00B050"/>
            <w:sz w:val="20"/>
            <w:szCs w:val="20"/>
          </w:rPr>
          <w:t>http://www.pftac.org</w:t>
        </w:r>
        <w:r w:rsidRPr="00991400">
          <w:rPr>
            <w:rStyle w:val="Hyperlink"/>
            <w:rFonts w:asciiTheme="minorHAnsi" w:hAnsiTheme="minorHAnsi" w:cstheme="minorHAnsi"/>
            <w:color w:val="00B050"/>
            <w:sz w:val="20"/>
            <w:szCs w:val="20"/>
          </w:rPr>
          <w:t>/</w:t>
        </w:r>
      </w:hyperlink>
      <w:r>
        <w:rPr>
          <w:rFonts w:asciiTheme="minorHAnsi" w:hAnsiTheme="minorHAnsi" w:cstheme="minorHAnsi"/>
          <w:sz w:val="20"/>
          <w:szCs w:val="20"/>
        </w:rPr>
        <w:t xml:space="preserve">. Staff also attended the Pacific Islands Conference on </w:t>
      </w:r>
      <w:r w:rsidR="0035434D">
        <w:rPr>
          <w:rFonts w:asciiTheme="minorHAnsi" w:hAnsiTheme="minorHAnsi" w:cstheme="minorHAnsi"/>
          <w:i/>
          <w:sz w:val="20"/>
          <w:szCs w:val="20"/>
        </w:rPr>
        <w:t>Lifting Potential Growth in the Pacific Islands</w:t>
      </w:r>
      <w:r w:rsidR="0035434D">
        <w:rPr>
          <w:rFonts w:asciiTheme="minorHAnsi" w:hAnsiTheme="minorHAnsi" w:cstheme="minorHAnsi"/>
          <w:sz w:val="20"/>
          <w:szCs w:val="20"/>
        </w:rPr>
        <w:t xml:space="preserve">. </w:t>
      </w:r>
      <w:r w:rsidR="00991400">
        <w:rPr>
          <w:rFonts w:asciiTheme="minorHAnsi" w:hAnsiTheme="minorHAnsi" w:cstheme="minorHAnsi"/>
          <w:sz w:val="20"/>
          <w:szCs w:val="20"/>
        </w:rPr>
        <w:t>Details are available at</w:t>
      </w:r>
      <w:r w:rsidR="0035434D">
        <w:rPr>
          <w:rFonts w:asciiTheme="minorHAnsi" w:hAnsiTheme="minorHAnsi" w:cstheme="minorHAnsi"/>
          <w:sz w:val="20"/>
          <w:szCs w:val="20"/>
        </w:rPr>
        <w:t>:</w:t>
      </w:r>
    </w:p>
    <w:p w:rsidR="0035434D" w:rsidRDefault="0035434D" w:rsidP="00960665">
      <w:pPr>
        <w:jc w:val="both"/>
        <w:rPr>
          <w:rFonts w:asciiTheme="minorHAnsi" w:hAnsiTheme="minorHAnsi" w:cstheme="minorHAnsi"/>
          <w:sz w:val="20"/>
          <w:szCs w:val="20"/>
        </w:rPr>
      </w:pPr>
      <w:hyperlink r:id="rId9" w:history="1">
        <w:r w:rsidRPr="00C95BF1">
          <w:rPr>
            <w:rStyle w:val="Hyperlink"/>
            <w:rFonts w:asciiTheme="minorHAnsi" w:hAnsiTheme="minorHAnsi" w:cstheme="minorHAnsi"/>
            <w:sz w:val="20"/>
            <w:szCs w:val="20"/>
          </w:rPr>
          <w:t>http://www.imf.org/external/np/seminars/eng/2013/pic/index.htm</w:t>
        </w:r>
      </w:hyperlink>
    </w:p>
    <w:p w:rsidR="005352D5" w:rsidRPr="008D49F7" w:rsidRDefault="005F316A" w:rsidP="00960665">
      <w:pPr>
        <w:jc w:val="both"/>
        <w:rPr>
          <w:rFonts w:asciiTheme="minorHAnsi" w:hAnsiTheme="minorHAnsi" w:cstheme="minorHAnsi"/>
          <w:sz w:val="20"/>
          <w:szCs w:val="20"/>
        </w:rPr>
      </w:pPr>
      <w:r>
        <w:rPr>
          <w:rFonts w:asciiTheme="minorHAnsi" w:hAnsiTheme="minorHAnsi" w:cstheme="minorHAnsi"/>
          <w:sz w:val="20"/>
          <w:szCs w:val="20"/>
        </w:rPr>
        <w:t xml:space="preserve">   </w:t>
      </w:r>
    </w:p>
    <w:p w:rsidR="007F3422" w:rsidRDefault="007F3422" w:rsidP="00960665">
      <w:pPr>
        <w:jc w:val="both"/>
        <w:rPr>
          <w:rFonts w:cs="Lucida Sans Unicode"/>
          <w:b/>
          <w:smallCaps/>
          <w:color w:val="0070C0"/>
          <w:sz w:val="22"/>
          <w:szCs w:val="22"/>
        </w:rPr>
      </w:pPr>
      <w:r>
        <w:rPr>
          <w:rFonts w:cs="Lucida Sans Unicode"/>
          <w:b/>
          <w:smallCaps/>
          <w:color w:val="0070C0"/>
          <w:sz w:val="22"/>
          <w:szCs w:val="22"/>
        </w:rPr>
        <w:t>Heptagon Group of Pacific Donors, Sydney, 25 November.</w:t>
      </w:r>
    </w:p>
    <w:p w:rsidR="007F3422" w:rsidRPr="007F3422" w:rsidRDefault="007F3422" w:rsidP="00960665">
      <w:pPr>
        <w:jc w:val="both"/>
        <w:rPr>
          <w:rFonts w:asciiTheme="minorHAnsi" w:hAnsiTheme="minorHAnsi" w:cstheme="minorHAnsi"/>
          <w:color w:val="00B050"/>
          <w:sz w:val="20"/>
          <w:szCs w:val="20"/>
        </w:rPr>
      </w:pPr>
      <w:r>
        <w:rPr>
          <w:rFonts w:asciiTheme="minorHAnsi" w:hAnsiTheme="minorHAnsi" w:cstheme="minorHAnsi"/>
          <w:sz w:val="20"/>
          <w:szCs w:val="20"/>
        </w:rPr>
        <w:t xml:space="preserve">PFTAC Coordinator </w:t>
      </w:r>
      <w:r w:rsidRPr="007F3422">
        <w:rPr>
          <w:rFonts w:asciiTheme="minorHAnsi" w:hAnsiTheme="minorHAnsi" w:cstheme="minorHAnsi"/>
          <w:color w:val="00B050"/>
          <w:sz w:val="20"/>
          <w:szCs w:val="20"/>
        </w:rPr>
        <w:t>Scott Roger</w:t>
      </w:r>
      <w:r>
        <w:rPr>
          <w:rFonts w:asciiTheme="minorHAnsi" w:hAnsiTheme="minorHAnsi" w:cstheme="minorHAnsi"/>
          <w:color w:val="00B050"/>
          <w:sz w:val="20"/>
          <w:szCs w:val="20"/>
        </w:rPr>
        <w:t xml:space="preserve"> </w:t>
      </w:r>
      <w:r w:rsidRPr="007F3422">
        <w:rPr>
          <w:rFonts w:asciiTheme="minorHAnsi" w:hAnsiTheme="minorHAnsi" w:cstheme="minorHAnsi"/>
          <w:sz w:val="20"/>
          <w:szCs w:val="20"/>
        </w:rPr>
        <w:t xml:space="preserve">and Pacific Resident Representative </w:t>
      </w:r>
      <w:r>
        <w:rPr>
          <w:rFonts w:asciiTheme="minorHAnsi" w:hAnsiTheme="minorHAnsi" w:cstheme="minorHAnsi"/>
          <w:color w:val="00B050"/>
          <w:sz w:val="20"/>
          <w:szCs w:val="20"/>
        </w:rPr>
        <w:t>Yongzheng Yang</w:t>
      </w:r>
      <w:r>
        <w:rPr>
          <w:rFonts w:asciiTheme="minorHAnsi" w:hAnsiTheme="minorHAnsi" w:cstheme="minorHAnsi"/>
          <w:sz w:val="20"/>
          <w:szCs w:val="20"/>
        </w:rPr>
        <w:t xml:space="preserve"> attended the meeting of donors, including ADB, Australia, European Union, Japan, New Zealand, and World Bank.</w:t>
      </w:r>
      <w:r w:rsidRPr="007F3422">
        <w:rPr>
          <w:rFonts w:asciiTheme="minorHAnsi" w:hAnsiTheme="minorHAnsi" w:cstheme="minorHAnsi"/>
          <w:color w:val="00B050"/>
          <w:sz w:val="20"/>
          <w:szCs w:val="20"/>
        </w:rPr>
        <w:t xml:space="preserve"> </w:t>
      </w:r>
      <w:r w:rsidRPr="007F3422">
        <w:rPr>
          <w:rFonts w:asciiTheme="minorHAnsi" w:hAnsiTheme="minorHAnsi" w:cstheme="minorHAnsi"/>
          <w:sz w:val="20"/>
          <w:szCs w:val="20"/>
        </w:rPr>
        <w:t>Topics discussed included</w:t>
      </w:r>
      <w:r>
        <w:rPr>
          <w:rFonts w:asciiTheme="minorHAnsi" w:hAnsiTheme="minorHAnsi" w:cstheme="minorHAnsi"/>
          <w:sz w:val="20"/>
          <w:szCs w:val="20"/>
        </w:rPr>
        <w:t xml:space="preserve">: the regional economic outlook; vulnerability and poverty in the Pacific; </w:t>
      </w:r>
      <w:r w:rsidR="005352D5">
        <w:rPr>
          <w:rFonts w:asciiTheme="minorHAnsi" w:hAnsiTheme="minorHAnsi" w:cstheme="minorHAnsi"/>
          <w:sz w:val="20"/>
          <w:szCs w:val="20"/>
        </w:rPr>
        <w:t xml:space="preserve">review of </w:t>
      </w:r>
      <w:r>
        <w:rPr>
          <w:rFonts w:asciiTheme="minorHAnsi" w:hAnsiTheme="minorHAnsi" w:cstheme="minorHAnsi"/>
          <w:sz w:val="20"/>
          <w:szCs w:val="20"/>
        </w:rPr>
        <w:t xml:space="preserve">budget support strategies; and engagement with the private sector in development.  </w:t>
      </w:r>
      <w:r w:rsidRPr="007F3422">
        <w:rPr>
          <w:rFonts w:asciiTheme="minorHAnsi" w:hAnsiTheme="minorHAnsi" w:cstheme="minorHAnsi"/>
          <w:color w:val="00B050"/>
          <w:sz w:val="20"/>
          <w:szCs w:val="20"/>
        </w:rPr>
        <w:t xml:space="preserve"> </w:t>
      </w:r>
    </w:p>
    <w:p w:rsidR="009F437E" w:rsidRPr="009F437E" w:rsidRDefault="00146625" w:rsidP="00704922">
      <w:pPr>
        <w:spacing w:line="276" w:lineRule="auto"/>
        <w:jc w:val="both"/>
        <w:rPr>
          <w:rFonts w:ascii="Lucida Sans Unicode" w:hAnsi="Lucida Sans Unicode" w:cs="Lucida Sans Unicode"/>
          <w:b/>
          <w:smallCaps/>
          <w:color w:val="00B050"/>
          <w:sz w:val="28"/>
          <w:szCs w:val="28"/>
        </w:rPr>
      </w:pPr>
      <w:r>
        <w:rPr>
          <w:rFonts w:ascii="Lucida Sans Unicode" w:hAnsi="Lucida Sans Unicode" w:cs="Lucida Sans Unicode"/>
          <w:b/>
          <w:smallCaps/>
          <w:color w:val="00B050"/>
          <w:sz w:val="28"/>
          <w:szCs w:val="28"/>
        </w:rPr>
        <w:br w:type="column"/>
      </w:r>
      <w:r w:rsidR="00704922">
        <w:rPr>
          <w:rFonts w:ascii="Lucida Sans Unicode" w:hAnsi="Lucida Sans Unicode" w:cs="Lucida Sans Unicode"/>
          <w:b/>
          <w:smallCaps/>
          <w:color w:val="00B050"/>
          <w:sz w:val="28"/>
          <w:szCs w:val="28"/>
        </w:rPr>
        <w:lastRenderedPageBreak/>
        <w:t>T</w:t>
      </w:r>
      <w:r w:rsidR="009F437E" w:rsidRPr="009F437E">
        <w:rPr>
          <w:rFonts w:ascii="Lucida Sans Unicode" w:hAnsi="Lucida Sans Unicode" w:cs="Lucida Sans Unicode"/>
          <w:b/>
          <w:smallCaps/>
          <w:color w:val="00B050"/>
          <w:sz w:val="28"/>
          <w:szCs w:val="28"/>
        </w:rPr>
        <w:t>echnical Assistance Issues</w:t>
      </w:r>
    </w:p>
    <w:p w:rsidR="002D5B72" w:rsidRDefault="006772FD" w:rsidP="00DC049C">
      <w:pPr>
        <w:spacing w:before="120" w:after="120" w:line="276" w:lineRule="auto"/>
        <w:jc w:val="both"/>
        <w:rPr>
          <w:rFonts w:cstheme="minorHAnsi"/>
          <w:b/>
          <w:smallCaps/>
          <w:color w:val="0070C0"/>
          <w:sz w:val="22"/>
          <w:szCs w:val="22"/>
        </w:rPr>
      </w:pPr>
      <w:r w:rsidRPr="006772FD">
        <w:rPr>
          <w:rFonts w:cstheme="minorHAnsi"/>
          <w:b/>
          <w:smallCaps/>
          <w:color w:val="0070C0"/>
          <w:sz w:val="22"/>
          <w:szCs w:val="22"/>
        </w:rPr>
        <w:t>VAT as a Data Source for National Accounts</w:t>
      </w:r>
    </w:p>
    <w:p w:rsidR="002D5B72" w:rsidRPr="002D5B72" w:rsidRDefault="002D5B72" w:rsidP="00DC049C">
      <w:pPr>
        <w:spacing w:before="120" w:after="120" w:line="276" w:lineRule="auto"/>
        <w:jc w:val="both"/>
        <w:rPr>
          <w:rFonts w:cs="Lucida Sans Unicode"/>
          <w:b/>
          <w:color w:val="00B050"/>
          <w:sz w:val="22"/>
          <w:szCs w:val="22"/>
        </w:rPr>
      </w:pPr>
      <w:r w:rsidRPr="002D5B72">
        <w:rPr>
          <w:rFonts w:cstheme="minorHAnsi"/>
          <w:b/>
          <w:color w:val="00B050"/>
          <w:sz w:val="22"/>
          <w:szCs w:val="22"/>
        </w:rPr>
        <w:t>By Russel Freeman</w:t>
      </w:r>
    </w:p>
    <w:p w:rsidR="00B8198C" w:rsidRDefault="00847903" w:rsidP="002D5B72">
      <w:pPr>
        <w:spacing w:before="120" w:after="120" w:line="276" w:lineRule="auto"/>
        <w:jc w:val="both"/>
        <w:rPr>
          <w:rFonts w:asciiTheme="minorHAnsi" w:hAnsiTheme="minorHAnsi" w:cstheme="minorHAnsi"/>
          <w:sz w:val="20"/>
          <w:szCs w:val="20"/>
        </w:rPr>
      </w:pPr>
      <w:r>
        <w:rPr>
          <w:rFonts w:asciiTheme="minorHAnsi" w:hAnsiTheme="minorHAnsi" w:cstheme="minorHAnsi"/>
          <w:sz w:val="20"/>
          <w:szCs w:val="20"/>
        </w:rPr>
        <w:t xml:space="preserve">Most Pacific Island Countries have few staff and only very limited financial resources for collection of economic statistics. In such circumstances, it is essential to make maximum use of existing administrative data collected for other purposes, but which can be an inexpensive, readily usable source of information for production of national accounts or other statistics.   </w:t>
      </w:r>
    </w:p>
    <w:p w:rsidR="006772FD" w:rsidRPr="006772FD" w:rsidRDefault="006772FD" w:rsidP="002D5B72">
      <w:pPr>
        <w:spacing w:before="120" w:after="120" w:line="276" w:lineRule="auto"/>
        <w:jc w:val="both"/>
        <w:rPr>
          <w:rFonts w:asciiTheme="minorHAnsi" w:hAnsiTheme="minorHAnsi" w:cstheme="minorHAnsi"/>
          <w:sz w:val="20"/>
          <w:szCs w:val="20"/>
        </w:rPr>
      </w:pPr>
      <w:r w:rsidRPr="006772FD">
        <w:rPr>
          <w:rFonts w:asciiTheme="minorHAnsi" w:hAnsiTheme="minorHAnsi" w:cstheme="minorHAnsi"/>
          <w:sz w:val="20"/>
          <w:szCs w:val="20"/>
        </w:rPr>
        <w:t>Over the last few years more and more countries</w:t>
      </w:r>
      <w:r w:rsidR="002D5B72">
        <w:rPr>
          <w:rFonts w:asciiTheme="minorHAnsi" w:hAnsiTheme="minorHAnsi" w:cstheme="minorHAnsi"/>
          <w:sz w:val="20"/>
          <w:szCs w:val="20"/>
        </w:rPr>
        <w:t xml:space="preserve"> in the Pacific</w:t>
      </w:r>
      <w:r w:rsidRPr="006772FD">
        <w:rPr>
          <w:rFonts w:asciiTheme="minorHAnsi" w:hAnsiTheme="minorHAnsi" w:cstheme="minorHAnsi"/>
          <w:sz w:val="20"/>
          <w:szCs w:val="20"/>
        </w:rPr>
        <w:t xml:space="preserve"> have </w:t>
      </w:r>
      <w:r w:rsidR="002D5B72">
        <w:rPr>
          <w:rFonts w:asciiTheme="minorHAnsi" w:hAnsiTheme="minorHAnsi" w:cstheme="minorHAnsi"/>
          <w:sz w:val="20"/>
          <w:szCs w:val="20"/>
        </w:rPr>
        <w:t>either</w:t>
      </w:r>
      <w:r w:rsidRPr="006772FD">
        <w:rPr>
          <w:rFonts w:asciiTheme="minorHAnsi" w:hAnsiTheme="minorHAnsi" w:cstheme="minorHAnsi"/>
          <w:sz w:val="20"/>
          <w:szCs w:val="20"/>
        </w:rPr>
        <w:t xml:space="preserve"> implement</w:t>
      </w:r>
      <w:r w:rsidR="002D5B72">
        <w:rPr>
          <w:rFonts w:asciiTheme="minorHAnsi" w:hAnsiTheme="minorHAnsi" w:cstheme="minorHAnsi"/>
          <w:sz w:val="20"/>
          <w:szCs w:val="20"/>
        </w:rPr>
        <w:t>ed</w:t>
      </w:r>
      <w:r w:rsidRPr="006772FD">
        <w:rPr>
          <w:rFonts w:asciiTheme="minorHAnsi" w:hAnsiTheme="minorHAnsi" w:cstheme="minorHAnsi"/>
          <w:sz w:val="20"/>
          <w:szCs w:val="20"/>
        </w:rPr>
        <w:t xml:space="preserve"> a value added tax (VAT) system</w:t>
      </w:r>
      <w:r w:rsidR="002D5B72">
        <w:rPr>
          <w:rFonts w:asciiTheme="minorHAnsi" w:hAnsiTheme="minorHAnsi" w:cstheme="minorHAnsi"/>
          <w:sz w:val="20"/>
          <w:szCs w:val="20"/>
        </w:rPr>
        <w:t xml:space="preserve">, </w:t>
      </w:r>
      <w:r w:rsidR="00847903">
        <w:rPr>
          <w:rFonts w:asciiTheme="minorHAnsi" w:hAnsiTheme="minorHAnsi" w:cstheme="minorHAnsi"/>
          <w:sz w:val="20"/>
          <w:szCs w:val="20"/>
        </w:rPr>
        <w:t xml:space="preserve">or </w:t>
      </w:r>
      <w:r w:rsidR="002D5B72">
        <w:rPr>
          <w:rFonts w:asciiTheme="minorHAnsi" w:hAnsiTheme="minorHAnsi" w:cstheme="minorHAnsi"/>
          <w:sz w:val="20"/>
          <w:szCs w:val="20"/>
        </w:rPr>
        <w:t xml:space="preserve">are in the process of doing so, including Cook Islands, Fiji, </w:t>
      </w:r>
      <w:r w:rsidR="00B8198C">
        <w:rPr>
          <w:rFonts w:asciiTheme="minorHAnsi" w:hAnsiTheme="minorHAnsi" w:cstheme="minorHAnsi"/>
          <w:sz w:val="20"/>
          <w:szCs w:val="20"/>
        </w:rPr>
        <w:t xml:space="preserve">Kiribati, </w:t>
      </w:r>
      <w:r w:rsidR="002D5B72">
        <w:rPr>
          <w:rFonts w:asciiTheme="minorHAnsi" w:hAnsiTheme="minorHAnsi" w:cstheme="minorHAnsi"/>
          <w:sz w:val="20"/>
          <w:szCs w:val="20"/>
        </w:rPr>
        <w:t xml:space="preserve">Niue, </w:t>
      </w:r>
      <w:r w:rsidR="00B8198C">
        <w:rPr>
          <w:rFonts w:asciiTheme="minorHAnsi" w:hAnsiTheme="minorHAnsi" w:cstheme="minorHAnsi"/>
          <w:sz w:val="20"/>
          <w:szCs w:val="20"/>
        </w:rPr>
        <w:t xml:space="preserve">Palau, </w:t>
      </w:r>
      <w:r w:rsidR="002D5B72">
        <w:rPr>
          <w:rFonts w:asciiTheme="minorHAnsi" w:hAnsiTheme="minorHAnsi" w:cstheme="minorHAnsi"/>
          <w:sz w:val="20"/>
          <w:szCs w:val="20"/>
        </w:rPr>
        <w:t>PNG, Samoa, Tonga, Tuvalu, Vanuatu</w:t>
      </w:r>
      <w:r w:rsidRPr="006772FD">
        <w:rPr>
          <w:rFonts w:asciiTheme="minorHAnsi" w:hAnsiTheme="minorHAnsi" w:cstheme="minorHAnsi"/>
          <w:sz w:val="20"/>
          <w:szCs w:val="20"/>
        </w:rPr>
        <w:t xml:space="preserve">. These </w:t>
      </w:r>
      <w:r w:rsidR="00847903">
        <w:rPr>
          <w:rFonts w:asciiTheme="minorHAnsi" w:hAnsiTheme="minorHAnsi" w:cstheme="minorHAnsi"/>
          <w:sz w:val="20"/>
          <w:szCs w:val="20"/>
        </w:rPr>
        <w:t xml:space="preserve">VAT </w:t>
      </w:r>
      <w:r w:rsidRPr="006772FD">
        <w:rPr>
          <w:rFonts w:asciiTheme="minorHAnsi" w:hAnsiTheme="minorHAnsi" w:cstheme="minorHAnsi"/>
          <w:sz w:val="20"/>
          <w:szCs w:val="20"/>
        </w:rPr>
        <w:t>systems nearly always include a software package which makes the data readily available as a potential data source.</w:t>
      </w:r>
    </w:p>
    <w:p w:rsidR="00A616D1" w:rsidRDefault="006772FD" w:rsidP="002D5B72">
      <w:pPr>
        <w:spacing w:before="120" w:after="120" w:line="276" w:lineRule="auto"/>
        <w:jc w:val="both"/>
        <w:rPr>
          <w:rFonts w:asciiTheme="minorHAnsi" w:hAnsiTheme="minorHAnsi" w:cstheme="minorHAnsi"/>
          <w:sz w:val="20"/>
          <w:szCs w:val="20"/>
        </w:rPr>
      </w:pPr>
      <w:r w:rsidRPr="006772FD">
        <w:rPr>
          <w:rFonts w:asciiTheme="minorHAnsi" w:hAnsiTheme="minorHAnsi" w:cstheme="minorHAnsi"/>
          <w:sz w:val="20"/>
          <w:szCs w:val="20"/>
        </w:rPr>
        <w:t xml:space="preserve">In a typical value added tax system, all businesses over a specified turnover limit—$40,000 per annum for example—must register for VAT and charge the tax on their sales. In turn, they can deduct all VAT paid on their inputs and have to lodge a return and remit the net amount collected to the tax office. These returns are lodged periodically, usually on a monthly basis, but sometimes quarterly or even 2-monthly with half the businesses reporting on alternate months. </w:t>
      </w:r>
    </w:p>
    <w:p w:rsidR="006772FD" w:rsidRPr="006772FD" w:rsidRDefault="006772FD" w:rsidP="002D5B72">
      <w:pPr>
        <w:spacing w:before="120" w:after="120" w:line="276" w:lineRule="auto"/>
        <w:jc w:val="both"/>
        <w:rPr>
          <w:rFonts w:asciiTheme="minorHAnsi" w:hAnsiTheme="minorHAnsi" w:cstheme="minorHAnsi"/>
          <w:sz w:val="20"/>
          <w:szCs w:val="20"/>
        </w:rPr>
      </w:pPr>
      <w:r w:rsidRPr="006772FD">
        <w:rPr>
          <w:rFonts w:asciiTheme="minorHAnsi" w:hAnsiTheme="minorHAnsi" w:cstheme="minorHAnsi"/>
          <w:sz w:val="20"/>
          <w:szCs w:val="20"/>
        </w:rPr>
        <w:t xml:space="preserve">The VAT law sometimes specifies certain items that are exempt from VAT—for example, food in local markets, education, medicines—and others, usually exports, that attract a zero rate of VAT. Otherwise all commodities are subject to a fixed rate which makes VAT a relatively simple and efficient tax to administer. All purchases on which VAT is claimed need to be fully documented and the returns need to include the tax identification number of the seller. </w:t>
      </w:r>
    </w:p>
    <w:p w:rsidR="009E705E" w:rsidRDefault="006772FD" w:rsidP="002D5B72">
      <w:pPr>
        <w:spacing w:before="120" w:after="120" w:line="276" w:lineRule="auto"/>
        <w:jc w:val="both"/>
        <w:rPr>
          <w:rFonts w:asciiTheme="minorHAnsi" w:hAnsiTheme="minorHAnsi" w:cstheme="minorHAnsi"/>
          <w:sz w:val="20"/>
          <w:szCs w:val="20"/>
        </w:rPr>
      </w:pPr>
      <w:r w:rsidRPr="006772FD">
        <w:rPr>
          <w:rFonts w:asciiTheme="minorHAnsi" w:hAnsiTheme="minorHAnsi" w:cstheme="minorHAnsi"/>
          <w:sz w:val="20"/>
          <w:szCs w:val="20"/>
        </w:rPr>
        <w:t xml:space="preserve">In effect, contrary to common perception, the registered businesses don’t pay VAT all, but simply act as unpaid tax collectors for the government. Given that all VAT paid is quickly recovered from sales, there is no monetary reward for a business to game the system and make purchases exclusive of VAT on the black market. In practice, once businesses realize that being “exempt” from VAT is not as good as it initially sounds (they would in fact prefer to be zero-rated) because they still pay VAT on all their inputs </w:t>
      </w:r>
    </w:p>
    <w:p w:rsidR="006772FD" w:rsidRPr="006772FD" w:rsidRDefault="006772FD" w:rsidP="002D5B72">
      <w:pPr>
        <w:spacing w:before="120" w:after="120" w:line="276" w:lineRule="auto"/>
        <w:jc w:val="both"/>
        <w:rPr>
          <w:rFonts w:asciiTheme="minorHAnsi" w:hAnsiTheme="minorHAnsi" w:cstheme="minorHAnsi"/>
          <w:sz w:val="20"/>
          <w:szCs w:val="20"/>
        </w:rPr>
      </w:pPr>
      <w:proofErr w:type="gramStart"/>
      <w:r w:rsidRPr="006772FD">
        <w:rPr>
          <w:rFonts w:asciiTheme="minorHAnsi" w:hAnsiTheme="minorHAnsi" w:cstheme="minorHAnsi"/>
          <w:sz w:val="20"/>
          <w:szCs w:val="20"/>
        </w:rPr>
        <w:lastRenderedPageBreak/>
        <w:t>and</w:t>
      </w:r>
      <w:proofErr w:type="gramEnd"/>
      <w:r w:rsidRPr="006772FD">
        <w:rPr>
          <w:rFonts w:asciiTheme="minorHAnsi" w:hAnsiTheme="minorHAnsi" w:cstheme="minorHAnsi"/>
          <w:sz w:val="20"/>
          <w:szCs w:val="20"/>
        </w:rPr>
        <w:t xml:space="preserve"> cannot reclaim this, in some countries they volunteer to be registered even thought they are not legally bound to do so. In the final analysis, VAT is paid mostly by final consumers—households—who are not in business and by the unregistered businesses who cannot deduct the VAT they pay on their inputs. Typically around 90% of VAT is ultimately paid by households.</w:t>
      </w:r>
    </w:p>
    <w:p w:rsidR="006772FD" w:rsidRPr="006772FD" w:rsidRDefault="006772FD" w:rsidP="002D5B72">
      <w:pPr>
        <w:spacing w:before="120" w:after="120" w:line="276" w:lineRule="auto"/>
        <w:jc w:val="both"/>
        <w:rPr>
          <w:rFonts w:asciiTheme="minorHAnsi" w:hAnsiTheme="minorHAnsi" w:cstheme="minorHAnsi"/>
          <w:sz w:val="20"/>
          <w:szCs w:val="20"/>
        </w:rPr>
      </w:pPr>
      <w:r w:rsidRPr="006772FD">
        <w:rPr>
          <w:rFonts w:asciiTheme="minorHAnsi" w:hAnsiTheme="minorHAnsi" w:cstheme="minorHAnsi"/>
          <w:sz w:val="20"/>
          <w:szCs w:val="20"/>
        </w:rPr>
        <w:t xml:space="preserve">The periodic returns that businesses file differ from country to country but each contains the same basic information: </w:t>
      </w:r>
    </w:p>
    <w:p w:rsidR="006772FD" w:rsidRPr="002D5B72" w:rsidRDefault="006772FD" w:rsidP="002D5B72">
      <w:pPr>
        <w:pStyle w:val="ListBullet"/>
        <w:rPr>
          <w:rFonts w:asciiTheme="minorHAnsi" w:hAnsiTheme="minorHAnsi" w:cstheme="minorHAnsi"/>
          <w:sz w:val="20"/>
          <w:szCs w:val="20"/>
        </w:rPr>
      </w:pPr>
      <w:r w:rsidRPr="002D5B72">
        <w:rPr>
          <w:rFonts w:asciiTheme="minorHAnsi" w:hAnsiTheme="minorHAnsi" w:cstheme="minorHAnsi"/>
          <w:sz w:val="20"/>
          <w:szCs w:val="20"/>
        </w:rPr>
        <w:t>Sales</w:t>
      </w:r>
    </w:p>
    <w:p w:rsidR="006772FD" w:rsidRPr="002D5B72" w:rsidRDefault="006772FD" w:rsidP="002D5B72">
      <w:pPr>
        <w:pStyle w:val="ListBullet"/>
        <w:rPr>
          <w:rFonts w:asciiTheme="minorHAnsi" w:hAnsiTheme="minorHAnsi" w:cstheme="minorHAnsi"/>
          <w:sz w:val="20"/>
          <w:szCs w:val="20"/>
        </w:rPr>
      </w:pPr>
      <w:r w:rsidRPr="002D5B72">
        <w:rPr>
          <w:rFonts w:asciiTheme="minorHAnsi" w:hAnsiTheme="minorHAnsi" w:cstheme="minorHAnsi"/>
          <w:sz w:val="20"/>
          <w:szCs w:val="20"/>
        </w:rPr>
        <w:t>VAT collected</w:t>
      </w:r>
    </w:p>
    <w:p w:rsidR="006772FD" w:rsidRPr="002D5B72" w:rsidRDefault="006772FD" w:rsidP="002D5B72">
      <w:pPr>
        <w:pStyle w:val="ListBullet"/>
        <w:rPr>
          <w:rFonts w:asciiTheme="minorHAnsi" w:hAnsiTheme="minorHAnsi" w:cstheme="minorHAnsi"/>
          <w:sz w:val="20"/>
          <w:szCs w:val="20"/>
        </w:rPr>
      </w:pPr>
      <w:r w:rsidRPr="002D5B72">
        <w:rPr>
          <w:rFonts w:asciiTheme="minorHAnsi" w:hAnsiTheme="minorHAnsi" w:cstheme="minorHAnsi"/>
          <w:sz w:val="20"/>
          <w:szCs w:val="20"/>
        </w:rPr>
        <w:t xml:space="preserve">Purchases—local </w:t>
      </w:r>
    </w:p>
    <w:p w:rsidR="006772FD" w:rsidRPr="002D5B72" w:rsidRDefault="006772FD" w:rsidP="002D5B72">
      <w:pPr>
        <w:pStyle w:val="ListBullet"/>
        <w:rPr>
          <w:rFonts w:asciiTheme="minorHAnsi" w:hAnsiTheme="minorHAnsi" w:cstheme="minorHAnsi"/>
          <w:sz w:val="20"/>
          <w:szCs w:val="20"/>
        </w:rPr>
      </w:pPr>
      <w:r w:rsidRPr="002D5B72">
        <w:rPr>
          <w:rFonts w:asciiTheme="minorHAnsi" w:hAnsiTheme="minorHAnsi" w:cstheme="minorHAnsi"/>
          <w:sz w:val="20"/>
          <w:szCs w:val="20"/>
        </w:rPr>
        <w:t xml:space="preserve">Purchase—imported </w:t>
      </w:r>
    </w:p>
    <w:p w:rsidR="006772FD" w:rsidRPr="002D5B72" w:rsidRDefault="006772FD" w:rsidP="002D5B72">
      <w:pPr>
        <w:pStyle w:val="ListBullet"/>
        <w:rPr>
          <w:rFonts w:asciiTheme="minorHAnsi" w:hAnsiTheme="minorHAnsi" w:cstheme="minorHAnsi"/>
          <w:sz w:val="20"/>
          <w:szCs w:val="20"/>
        </w:rPr>
      </w:pPr>
      <w:r w:rsidRPr="002D5B72">
        <w:rPr>
          <w:rFonts w:asciiTheme="minorHAnsi" w:hAnsiTheme="minorHAnsi" w:cstheme="minorHAnsi"/>
          <w:sz w:val="20"/>
          <w:szCs w:val="20"/>
        </w:rPr>
        <w:t>VAT paid</w:t>
      </w:r>
    </w:p>
    <w:p w:rsidR="006772FD" w:rsidRPr="006772FD" w:rsidRDefault="006772FD" w:rsidP="002D5B72">
      <w:pPr>
        <w:spacing w:before="120" w:after="120" w:line="276" w:lineRule="auto"/>
        <w:jc w:val="both"/>
        <w:rPr>
          <w:rFonts w:asciiTheme="minorHAnsi" w:hAnsiTheme="minorHAnsi" w:cstheme="minorHAnsi"/>
          <w:sz w:val="20"/>
          <w:szCs w:val="20"/>
        </w:rPr>
      </w:pPr>
      <w:r w:rsidRPr="006772FD">
        <w:rPr>
          <w:rFonts w:asciiTheme="minorHAnsi" w:hAnsiTheme="minorHAnsi" w:cstheme="minorHAnsi"/>
          <w:sz w:val="20"/>
          <w:szCs w:val="20"/>
        </w:rPr>
        <w:t xml:space="preserve">It requires some negotiation to overcome confidentiality issues but once access is obtained, this information is available in a very timely manner as, for example, monthly returns need to be processed within a month or else a back log is created. Filers need to lodge their returns by the end of the month and </w:t>
      </w:r>
      <w:proofErr w:type="gramStart"/>
      <w:r w:rsidRPr="006772FD">
        <w:rPr>
          <w:rFonts w:asciiTheme="minorHAnsi" w:hAnsiTheme="minorHAnsi" w:cstheme="minorHAnsi"/>
          <w:sz w:val="20"/>
          <w:szCs w:val="20"/>
        </w:rPr>
        <w:t>these need</w:t>
      </w:r>
      <w:proofErr w:type="gramEnd"/>
      <w:r w:rsidRPr="006772FD">
        <w:rPr>
          <w:rFonts w:asciiTheme="minorHAnsi" w:hAnsiTheme="minorHAnsi" w:cstheme="minorHAnsi"/>
          <w:sz w:val="20"/>
          <w:szCs w:val="20"/>
        </w:rPr>
        <w:t xml:space="preserve"> to be processed within a month, so data are potentially available within 60 days. Many countries are working towards electronic filing which reduces the processing burden.</w:t>
      </w:r>
    </w:p>
    <w:p w:rsidR="006772FD" w:rsidRPr="006772FD" w:rsidRDefault="006772FD" w:rsidP="002D5B72">
      <w:pPr>
        <w:spacing w:before="120" w:after="120" w:line="276" w:lineRule="auto"/>
        <w:jc w:val="both"/>
        <w:rPr>
          <w:rFonts w:asciiTheme="minorHAnsi" w:hAnsiTheme="minorHAnsi" w:cstheme="minorHAnsi"/>
          <w:sz w:val="20"/>
          <w:szCs w:val="20"/>
        </w:rPr>
      </w:pPr>
      <w:r w:rsidRPr="006772FD">
        <w:rPr>
          <w:rFonts w:asciiTheme="minorHAnsi" w:hAnsiTheme="minorHAnsi" w:cstheme="minorHAnsi"/>
          <w:sz w:val="20"/>
          <w:szCs w:val="20"/>
        </w:rPr>
        <w:t xml:space="preserve">For national accounts use, “sales” are not exactly the same as output because stock change is excluded but these differences tend to even out over time. The same is true for “purchases” which are not exactly the same as intermediate goods used because of stock change and purchases from businesses outside the VAT net. As a rule, “purchases” also include the purchase of capital goods which is a significant difference from the intermediate consumption concept but because capital purchases tend to be large compared to normal purchases they can potentially be identified in the data and removed. </w:t>
      </w:r>
    </w:p>
    <w:p w:rsidR="007A4097" w:rsidRDefault="006772FD" w:rsidP="006772FD">
      <w:pPr>
        <w:spacing w:line="276" w:lineRule="auto"/>
        <w:jc w:val="both"/>
        <w:rPr>
          <w:rFonts w:ascii="Lucida Sans Unicode" w:hAnsi="Lucida Sans Unicode" w:cs="Lucida Sans Unicode"/>
          <w:b/>
          <w:smallCaps/>
          <w:color w:val="00B050"/>
          <w:sz w:val="28"/>
          <w:szCs w:val="28"/>
        </w:rPr>
      </w:pPr>
      <w:r w:rsidRPr="006772FD">
        <w:rPr>
          <w:rFonts w:asciiTheme="minorHAnsi" w:hAnsiTheme="minorHAnsi" w:cstheme="minorHAnsi"/>
          <w:sz w:val="20"/>
          <w:szCs w:val="20"/>
        </w:rPr>
        <w:t>Despite these imperfections, VAT data can—and does—provide timely, comprehensive national accounts indicators of far better quality than could be obtained from business surveys which suffer from both delayed and low response.</w:t>
      </w:r>
      <w:r w:rsidR="007A4097">
        <w:rPr>
          <w:rFonts w:ascii="Lucida Sans Unicode" w:hAnsi="Lucida Sans Unicode" w:cs="Lucida Sans Unicode"/>
          <w:b/>
          <w:smallCaps/>
          <w:color w:val="00B050"/>
          <w:sz w:val="28"/>
          <w:szCs w:val="28"/>
        </w:rPr>
        <w:br w:type="page"/>
      </w:r>
    </w:p>
    <w:p w:rsidR="00636BB8" w:rsidRPr="00D720AB" w:rsidRDefault="00636BB8" w:rsidP="00D720AB">
      <w:pPr>
        <w:spacing w:line="276" w:lineRule="auto"/>
        <w:jc w:val="both"/>
        <w:rPr>
          <w:rFonts w:ascii="Lucida Sans Unicode" w:hAnsi="Lucida Sans Unicode" w:cs="Lucida Sans Unicode"/>
          <w:b/>
          <w:smallCaps/>
          <w:color w:val="00B050"/>
          <w:sz w:val="28"/>
          <w:szCs w:val="28"/>
        </w:rPr>
      </w:pPr>
      <w:r w:rsidRPr="00D720AB">
        <w:rPr>
          <w:rFonts w:ascii="Lucida Sans Unicode" w:hAnsi="Lucida Sans Unicode" w:cs="Lucida Sans Unicode"/>
          <w:b/>
          <w:smallCaps/>
          <w:color w:val="00B050"/>
          <w:sz w:val="28"/>
          <w:szCs w:val="28"/>
        </w:rPr>
        <w:lastRenderedPageBreak/>
        <w:t>Country TA Strategies</w:t>
      </w:r>
    </w:p>
    <w:p w:rsidR="00636BB8" w:rsidRPr="004D6EEC" w:rsidRDefault="00636BB8" w:rsidP="00636BB8">
      <w:pPr>
        <w:jc w:val="both"/>
        <w:rPr>
          <w:b/>
          <w:smallCaps/>
          <w:color w:val="FF0000"/>
          <w:sz w:val="28"/>
          <w:szCs w:val="28"/>
        </w:rPr>
      </w:pPr>
    </w:p>
    <w:tbl>
      <w:tblPr>
        <w:tblStyle w:val="TableGrid"/>
        <w:tblW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6"/>
        <w:gridCol w:w="2892"/>
      </w:tblGrid>
      <w:tr w:rsidR="00636BB8" w:rsidTr="00636BB8">
        <w:trPr>
          <w:trHeight w:val="1062"/>
        </w:trPr>
        <w:tc>
          <w:tcPr>
            <w:tcW w:w="1908" w:type="dxa"/>
          </w:tcPr>
          <w:p w:rsidR="00636BB8" w:rsidRDefault="007A4097" w:rsidP="00636BB8">
            <w:pPr>
              <w:jc w:val="both"/>
            </w:pPr>
            <w:r>
              <w:rPr>
                <w:noProof/>
              </w:rPr>
              <w:drawing>
                <wp:inline distT="0" distB="0" distL="0" distR="0">
                  <wp:extent cx="1104900" cy="685800"/>
                  <wp:effectExtent l="19050" t="0" r="0" b="0"/>
                  <wp:docPr id="3" name="Picture 2" descr="vanua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uatu.png"/>
                          <pic:cNvPicPr/>
                        </pic:nvPicPr>
                        <pic:blipFill>
                          <a:blip r:embed="rId10" cstate="print"/>
                          <a:stretch>
                            <a:fillRect/>
                          </a:stretch>
                        </pic:blipFill>
                        <pic:spPr>
                          <a:xfrm>
                            <a:off x="0" y="0"/>
                            <a:ext cx="1104900" cy="685800"/>
                          </a:xfrm>
                          <a:prstGeom prst="rect">
                            <a:avLst/>
                          </a:prstGeom>
                        </pic:spPr>
                      </pic:pic>
                    </a:graphicData>
                  </a:graphic>
                </wp:inline>
              </w:drawing>
            </w:r>
          </w:p>
        </w:tc>
        <w:tc>
          <w:tcPr>
            <w:tcW w:w="2970" w:type="dxa"/>
            <w:vAlign w:val="center"/>
          </w:tcPr>
          <w:p w:rsidR="00636BB8" w:rsidRPr="00E67599" w:rsidRDefault="007A4097" w:rsidP="00636BB8">
            <w:pPr>
              <w:rPr>
                <w:b/>
                <w:smallCaps/>
                <w:color w:val="0070C0"/>
                <w:sz w:val="28"/>
                <w:szCs w:val="28"/>
              </w:rPr>
            </w:pPr>
            <w:r>
              <w:rPr>
                <w:b/>
                <w:smallCaps/>
                <w:color w:val="0070C0"/>
                <w:sz w:val="28"/>
                <w:szCs w:val="28"/>
              </w:rPr>
              <w:t>Vanuatu</w:t>
            </w:r>
          </w:p>
          <w:p w:rsidR="00636BB8" w:rsidRDefault="00636BB8" w:rsidP="00636BB8"/>
        </w:tc>
      </w:tr>
    </w:tbl>
    <w:p w:rsidR="00636BB8" w:rsidRDefault="00636BB8" w:rsidP="00636BB8">
      <w:pPr>
        <w:spacing w:line="276" w:lineRule="auto"/>
        <w:jc w:val="both"/>
      </w:pPr>
    </w:p>
    <w:p w:rsidR="00636BB8" w:rsidRPr="00BB17BD" w:rsidRDefault="00636BB8" w:rsidP="00636BB8">
      <w:pPr>
        <w:pStyle w:val="Heading2"/>
        <w:spacing w:after="0" w:line="276" w:lineRule="auto"/>
        <w:jc w:val="both"/>
        <w:rPr>
          <w:rFonts w:ascii="Trebuchet MS" w:hAnsi="Trebuchet MS"/>
          <w:b/>
          <w:color w:val="0070C0"/>
          <w:sz w:val="18"/>
          <w:szCs w:val="18"/>
        </w:rPr>
      </w:pPr>
      <w:r w:rsidRPr="002A7868">
        <w:rPr>
          <w:rFonts w:ascii="Trebuchet MS" w:hAnsi="Trebuchet MS"/>
          <w:b/>
          <w:color w:val="0070C0"/>
          <w:sz w:val="20"/>
          <w:szCs w:val="20"/>
        </w:rPr>
        <w:t>Public Financial Management</w:t>
      </w:r>
    </w:p>
    <w:p w:rsidR="003C70CC" w:rsidRPr="00E22B46" w:rsidRDefault="003C70CC" w:rsidP="00E22B46">
      <w:pPr>
        <w:keepNext/>
        <w:spacing w:line="276" w:lineRule="auto"/>
        <w:jc w:val="both"/>
        <w:rPr>
          <w:rFonts w:asciiTheme="minorHAnsi" w:hAnsiTheme="minorHAnsi" w:cstheme="minorHAnsi"/>
          <w:sz w:val="20"/>
          <w:szCs w:val="20"/>
        </w:rPr>
      </w:pPr>
      <w:r w:rsidRPr="00E22B46">
        <w:rPr>
          <w:rFonts w:asciiTheme="minorHAnsi" w:hAnsiTheme="minorHAnsi" w:cstheme="minorHAnsi"/>
          <w:sz w:val="20"/>
          <w:szCs w:val="20"/>
        </w:rPr>
        <w:t>In the Public Financial Management area, Vanuatu receives support from a number of development partners, including AusAID and ADB. No direct inputs are anticipated in the short</w:t>
      </w:r>
      <w:r w:rsidR="009E705E">
        <w:rPr>
          <w:rFonts w:asciiTheme="minorHAnsi" w:hAnsiTheme="minorHAnsi" w:cstheme="minorHAnsi"/>
          <w:sz w:val="20"/>
          <w:szCs w:val="20"/>
        </w:rPr>
        <w:t xml:space="preserve"> </w:t>
      </w:r>
      <w:r w:rsidRPr="00E22B46">
        <w:rPr>
          <w:rFonts w:asciiTheme="minorHAnsi" w:hAnsiTheme="minorHAnsi" w:cstheme="minorHAnsi"/>
          <w:sz w:val="20"/>
          <w:szCs w:val="20"/>
        </w:rPr>
        <w:t xml:space="preserve">term, PFTAC will provide resources to support a PFM Roadmap. </w:t>
      </w:r>
    </w:p>
    <w:p w:rsidR="00636BB8" w:rsidRPr="00E22B46" w:rsidRDefault="00636BB8" w:rsidP="00E22B46">
      <w:pPr>
        <w:spacing w:line="276" w:lineRule="auto"/>
        <w:jc w:val="both"/>
        <w:rPr>
          <w:rFonts w:asciiTheme="minorHAnsi" w:hAnsiTheme="minorHAnsi" w:cstheme="minorHAnsi"/>
          <w:sz w:val="20"/>
          <w:szCs w:val="20"/>
        </w:rPr>
      </w:pPr>
    </w:p>
    <w:p w:rsidR="00636BB8" w:rsidRPr="00A16BC0" w:rsidRDefault="00636BB8" w:rsidP="00636BB8">
      <w:pPr>
        <w:keepNext/>
        <w:spacing w:line="276" w:lineRule="auto"/>
        <w:jc w:val="both"/>
        <w:rPr>
          <w:b/>
          <w:color w:val="0070C0"/>
          <w:sz w:val="20"/>
          <w:szCs w:val="20"/>
        </w:rPr>
      </w:pPr>
      <w:r w:rsidRPr="00A16BC0">
        <w:rPr>
          <w:b/>
          <w:color w:val="0070C0"/>
          <w:sz w:val="20"/>
          <w:szCs w:val="20"/>
        </w:rPr>
        <w:t>Revenue Administration</w:t>
      </w:r>
    </w:p>
    <w:p w:rsidR="00E22B46" w:rsidRDefault="006970FE" w:rsidP="00E22B46">
      <w:pPr>
        <w:keepNext/>
        <w:spacing w:line="276" w:lineRule="auto"/>
        <w:jc w:val="both"/>
        <w:rPr>
          <w:rFonts w:asciiTheme="minorHAnsi" w:hAnsiTheme="minorHAnsi" w:cstheme="minorHAnsi"/>
          <w:sz w:val="20"/>
          <w:szCs w:val="20"/>
        </w:rPr>
      </w:pPr>
      <w:r w:rsidRPr="00E22B46">
        <w:rPr>
          <w:rFonts w:asciiTheme="minorHAnsi" w:hAnsiTheme="minorHAnsi" w:cstheme="minorHAnsi"/>
          <w:sz w:val="20"/>
          <w:szCs w:val="20"/>
        </w:rPr>
        <w:t xml:space="preserve">In the tax revenue policy and administration area, direct support to the tax administration is provided by an AusAID funded resident advisor who is helping the administration implement reforms recommended </w:t>
      </w:r>
      <w:r w:rsidR="000774D7" w:rsidRPr="00E22B46">
        <w:rPr>
          <w:rFonts w:asciiTheme="minorHAnsi" w:hAnsiTheme="minorHAnsi" w:cstheme="minorHAnsi"/>
          <w:sz w:val="20"/>
          <w:szCs w:val="20"/>
        </w:rPr>
        <w:t xml:space="preserve">in </w:t>
      </w:r>
      <w:r w:rsidRPr="00E22B46">
        <w:rPr>
          <w:rFonts w:asciiTheme="minorHAnsi" w:hAnsiTheme="minorHAnsi" w:cstheme="minorHAnsi"/>
          <w:sz w:val="20"/>
          <w:szCs w:val="20"/>
        </w:rPr>
        <w:t xml:space="preserve">previous PFTAC TA. </w:t>
      </w:r>
    </w:p>
    <w:p w:rsidR="00E22B46" w:rsidRDefault="00E22B46" w:rsidP="00E22B46">
      <w:pPr>
        <w:keepNext/>
        <w:spacing w:line="276" w:lineRule="auto"/>
        <w:jc w:val="both"/>
        <w:rPr>
          <w:rFonts w:asciiTheme="minorHAnsi" w:hAnsiTheme="minorHAnsi" w:cstheme="minorHAnsi"/>
          <w:sz w:val="20"/>
          <w:szCs w:val="20"/>
        </w:rPr>
      </w:pPr>
    </w:p>
    <w:p w:rsidR="00636BB8" w:rsidRDefault="006970FE" w:rsidP="00E22B46">
      <w:pPr>
        <w:keepNext/>
        <w:spacing w:line="276" w:lineRule="auto"/>
        <w:jc w:val="both"/>
        <w:rPr>
          <w:rFonts w:asciiTheme="minorHAnsi" w:hAnsiTheme="minorHAnsi" w:cstheme="minorHAnsi"/>
          <w:sz w:val="20"/>
          <w:szCs w:val="20"/>
        </w:rPr>
      </w:pPr>
      <w:r w:rsidRPr="00E22B46">
        <w:rPr>
          <w:rFonts w:asciiTheme="minorHAnsi" w:hAnsiTheme="minorHAnsi" w:cstheme="minorHAnsi"/>
          <w:sz w:val="20"/>
          <w:szCs w:val="20"/>
        </w:rPr>
        <w:t>There ha</w:t>
      </w:r>
      <w:r w:rsidR="000774D7" w:rsidRPr="00E22B46">
        <w:rPr>
          <w:rFonts w:asciiTheme="minorHAnsi" w:hAnsiTheme="minorHAnsi" w:cstheme="minorHAnsi"/>
          <w:sz w:val="20"/>
          <w:szCs w:val="20"/>
        </w:rPr>
        <w:t>ve</w:t>
      </w:r>
      <w:r w:rsidRPr="00E22B46">
        <w:rPr>
          <w:rFonts w:asciiTheme="minorHAnsi" w:hAnsiTheme="minorHAnsi" w:cstheme="minorHAnsi"/>
          <w:sz w:val="20"/>
          <w:szCs w:val="20"/>
        </w:rPr>
        <w:t xml:space="preserve"> been some recent discussions with the revenue authorities regarding possible </w:t>
      </w:r>
      <w:r w:rsidR="000774D7" w:rsidRPr="00E22B46">
        <w:rPr>
          <w:rFonts w:asciiTheme="minorHAnsi" w:hAnsiTheme="minorHAnsi" w:cstheme="minorHAnsi"/>
          <w:sz w:val="20"/>
          <w:szCs w:val="20"/>
        </w:rPr>
        <w:t xml:space="preserve">changes to the tax </w:t>
      </w:r>
      <w:r w:rsidRPr="00E22B46">
        <w:rPr>
          <w:rFonts w:asciiTheme="minorHAnsi" w:hAnsiTheme="minorHAnsi" w:cstheme="minorHAnsi"/>
          <w:sz w:val="20"/>
          <w:szCs w:val="20"/>
        </w:rPr>
        <w:t xml:space="preserve">policy </w:t>
      </w:r>
      <w:r w:rsidR="000774D7" w:rsidRPr="00E22B46">
        <w:rPr>
          <w:rFonts w:asciiTheme="minorHAnsi" w:hAnsiTheme="minorHAnsi" w:cstheme="minorHAnsi"/>
          <w:sz w:val="20"/>
          <w:szCs w:val="20"/>
        </w:rPr>
        <w:t xml:space="preserve">settings </w:t>
      </w:r>
      <w:r w:rsidRPr="00E22B46">
        <w:rPr>
          <w:rFonts w:asciiTheme="minorHAnsi" w:hAnsiTheme="minorHAnsi" w:cstheme="minorHAnsi"/>
          <w:sz w:val="20"/>
          <w:szCs w:val="20"/>
        </w:rPr>
        <w:t xml:space="preserve">and if the authorities decide to pursue policy reforms, PFTAC will provide </w:t>
      </w:r>
      <w:r w:rsidR="000774D7" w:rsidRPr="00E22B46">
        <w:rPr>
          <w:rFonts w:asciiTheme="minorHAnsi" w:hAnsiTheme="minorHAnsi" w:cstheme="minorHAnsi"/>
          <w:sz w:val="20"/>
          <w:szCs w:val="20"/>
        </w:rPr>
        <w:t xml:space="preserve">TA to assist in developing the </w:t>
      </w:r>
      <w:r w:rsidRPr="00E22B46">
        <w:rPr>
          <w:rFonts w:asciiTheme="minorHAnsi" w:hAnsiTheme="minorHAnsi" w:cstheme="minorHAnsi"/>
          <w:sz w:val="20"/>
          <w:szCs w:val="20"/>
        </w:rPr>
        <w:t>policy</w:t>
      </w:r>
      <w:r w:rsidR="000774D7" w:rsidRPr="00E22B46">
        <w:rPr>
          <w:rFonts w:asciiTheme="minorHAnsi" w:hAnsiTheme="minorHAnsi" w:cstheme="minorHAnsi"/>
          <w:sz w:val="20"/>
          <w:szCs w:val="20"/>
        </w:rPr>
        <w:t xml:space="preserve">, </w:t>
      </w:r>
      <w:r w:rsidRPr="00E22B46">
        <w:rPr>
          <w:rFonts w:asciiTheme="minorHAnsi" w:hAnsiTheme="minorHAnsi" w:cstheme="minorHAnsi"/>
          <w:sz w:val="20"/>
          <w:szCs w:val="20"/>
        </w:rPr>
        <w:t>implement</w:t>
      </w:r>
      <w:r w:rsidR="000774D7" w:rsidRPr="00E22B46">
        <w:rPr>
          <w:rFonts w:asciiTheme="minorHAnsi" w:hAnsiTheme="minorHAnsi" w:cstheme="minorHAnsi"/>
          <w:sz w:val="20"/>
          <w:szCs w:val="20"/>
        </w:rPr>
        <w:t>ing and administering the</w:t>
      </w:r>
      <w:r w:rsidRPr="00E22B46">
        <w:rPr>
          <w:rFonts w:asciiTheme="minorHAnsi" w:hAnsiTheme="minorHAnsi" w:cstheme="minorHAnsi"/>
          <w:sz w:val="20"/>
          <w:szCs w:val="20"/>
        </w:rPr>
        <w:t xml:space="preserve"> reforms.</w:t>
      </w:r>
    </w:p>
    <w:p w:rsidR="00E22B46" w:rsidRPr="00E22B46" w:rsidRDefault="00E22B46" w:rsidP="00E22B46">
      <w:pPr>
        <w:keepNext/>
        <w:spacing w:line="276" w:lineRule="auto"/>
        <w:jc w:val="both"/>
        <w:rPr>
          <w:rFonts w:asciiTheme="minorHAnsi" w:hAnsiTheme="minorHAnsi" w:cstheme="minorHAnsi"/>
          <w:sz w:val="20"/>
          <w:szCs w:val="20"/>
        </w:rPr>
      </w:pPr>
    </w:p>
    <w:p w:rsidR="00636BB8" w:rsidRPr="0003245A" w:rsidRDefault="00636BB8" w:rsidP="00636BB8">
      <w:pPr>
        <w:spacing w:line="276" w:lineRule="auto"/>
        <w:jc w:val="both"/>
        <w:rPr>
          <w:b/>
          <w:color w:val="0070C0"/>
          <w:sz w:val="20"/>
          <w:szCs w:val="20"/>
        </w:rPr>
      </w:pPr>
      <w:r w:rsidRPr="00B31F7D">
        <w:rPr>
          <w:b/>
          <w:color w:val="0070C0"/>
          <w:sz w:val="20"/>
          <w:szCs w:val="20"/>
        </w:rPr>
        <w:t>Statistics</w:t>
      </w:r>
    </w:p>
    <w:p w:rsidR="00636BB8" w:rsidRPr="00E22B46" w:rsidRDefault="006970FE" w:rsidP="00636BB8">
      <w:pPr>
        <w:keepNext/>
        <w:spacing w:line="276" w:lineRule="auto"/>
        <w:jc w:val="both"/>
        <w:rPr>
          <w:rFonts w:asciiTheme="minorHAnsi" w:hAnsiTheme="minorHAnsi" w:cstheme="minorHAnsi"/>
          <w:sz w:val="20"/>
          <w:szCs w:val="20"/>
        </w:rPr>
      </w:pPr>
      <w:r w:rsidRPr="00E22B46">
        <w:rPr>
          <w:rFonts w:asciiTheme="minorHAnsi" w:hAnsiTheme="minorHAnsi" w:cstheme="minorHAnsi"/>
          <w:sz w:val="20"/>
          <w:szCs w:val="20"/>
        </w:rPr>
        <w:t>In macroeconomic statistics, PFTAC will continue to support the rebasing of the national acco</w:t>
      </w:r>
      <w:r w:rsidR="00364E31" w:rsidRPr="00E22B46">
        <w:rPr>
          <w:rFonts w:asciiTheme="minorHAnsi" w:hAnsiTheme="minorHAnsi" w:cstheme="minorHAnsi"/>
          <w:sz w:val="20"/>
          <w:szCs w:val="20"/>
        </w:rPr>
        <w:t>unts in 2013 and moving towards the production of quarterly accounts in 2014. IMF headquarters will provide support in strengthening the BOP and GFS statistics.</w:t>
      </w:r>
    </w:p>
    <w:p w:rsidR="001A4EA5" w:rsidRDefault="001A4EA5" w:rsidP="00636BB8">
      <w:pPr>
        <w:spacing w:line="276" w:lineRule="auto"/>
        <w:jc w:val="both"/>
        <w:rPr>
          <w:b/>
          <w:color w:val="0070C0"/>
          <w:sz w:val="20"/>
          <w:szCs w:val="20"/>
        </w:rPr>
      </w:pPr>
    </w:p>
    <w:p w:rsidR="00636BB8" w:rsidRPr="0003245A" w:rsidRDefault="00636BB8" w:rsidP="00636BB8">
      <w:pPr>
        <w:spacing w:line="276" w:lineRule="auto"/>
        <w:jc w:val="both"/>
        <w:rPr>
          <w:b/>
          <w:color w:val="0070C0"/>
          <w:sz w:val="20"/>
          <w:szCs w:val="20"/>
        </w:rPr>
      </w:pPr>
      <w:r w:rsidRPr="0003245A">
        <w:rPr>
          <w:b/>
          <w:color w:val="0070C0"/>
          <w:sz w:val="20"/>
          <w:szCs w:val="20"/>
        </w:rPr>
        <w:t>Financial Sector Supervision</w:t>
      </w:r>
    </w:p>
    <w:p w:rsidR="00E22B46" w:rsidRDefault="008A7CD6" w:rsidP="008A7CD6">
      <w:pPr>
        <w:spacing w:after="200" w:line="276" w:lineRule="auto"/>
        <w:jc w:val="both"/>
        <w:rPr>
          <w:rFonts w:asciiTheme="minorHAnsi" w:hAnsiTheme="minorHAnsi" w:cstheme="minorHAnsi"/>
          <w:sz w:val="20"/>
          <w:szCs w:val="20"/>
        </w:rPr>
      </w:pPr>
      <w:r w:rsidRPr="00E22B46">
        <w:rPr>
          <w:rFonts w:asciiTheme="minorHAnsi" w:hAnsiTheme="minorHAnsi" w:cstheme="minorHAnsi"/>
          <w:sz w:val="20"/>
          <w:szCs w:val="20"/>
        </w:rPr>
        <w:t>In financial sector supervision, PFTAC will assist RBV adapt the base set of prudential returns developed by AFSPC to the Vanuatu context in advance of the regional implementation of RBNZ’s information system (FSIS).</w:t>
      </w:r>
    </w:p>
    <w:p w:rsidR="00E22B46" w:rsidRDefault="008A7CD6" w:rsidP="008A7CD6">
      <w:pPr>
        <w:spacing w:after="200" w:line="276" w:lineRule="auto"/>
        <w:jc w:val="both"/>
        <w:rPr>
          <w:rFonts w:asciiTheme="minorHAnsi" w:hAnsiTheme="minorHAnsi" w:cstheme="minorHAnsi"/>
          <w:sz w:val="20"/>
          <w:szCs w:val="20"/>
        </w:rPr>
      </w:pPr>
      <w:r w:rsidRPr="00E22B46">
        <w:rPr>
          <w:rFonts w:asciiTheme="minorHAnsi" w:hAnsiTheme="minorHAnsi" w:cstheme="minorHAnsi"/>
          <w:sz w:val="20"/>
          <w:szCs w:val="20"/>
        </w:rPr>
        <w:t xml:space="preserve"> Support </w:t>
      </w:r>
      <w:r w:rsidR="00E22B46">
        <w:rPr>
          <w:rFonts w:asciiTheme="minorHAnsi" w:hAnsiTheme="minorHAnsi" w:cstheme="minorHAnsi"/>
          <w:sz w:val="20"/>
          <w:szCs w:val="20"/>
        </w:rPr>
        <w:t>for</w:t>
      </w:r>
      <w:r w:rsidRPr="00E22B46">
        <w:rPr>
          <w:rFonts w:asciiTheme="minorHAnsi" w:hAnsiTheme="minorHAnsi" w:cstheme="minorHAnsi"/>
          <w:sz w:val="20"/>
          <w:szCs w:val="20"/>
        </w:rPr>
        <w:t xml:space="preserve"> the on-site supervision process will continue with the aim of adapting risk based banking supervision techniques to the financial institution sector. </w:t>
      </w:r>
    </w:p>
    <w:p w:rsidR="009E705E" w:rsidRDefault="008A7CD6" w:rsidP="008A7CD6">
      <w:pPr>
        <w:spacing w:after="200" w:line="276" w:lineRule="auto"/>
        <w:jc w:val="both"/>
        <w:rPr>
          <w:rFonts w:asciiTheme="minorHAnsi" w:hAnsiTheme="minorHAnsi" w:cstheme="minorHAnsi"/>
          <w:sz w:val="20"/>
          <w:szCs w:val="20"/>
        </w:rPr>
      </w:pPr>
      <w:r w:rsidRPr="00E22B46">
        <w:rPr>
          <w:rFonts w:asciiTheme="minorHAnsi" w:hAnsiTheme="minorHAnsi" w:cstheme="minorHAnsi"/>
          <w:sz w:val="20"/>
          <w:szCs w:val="20"/>
        </w:rPr>
        <w:t xml:space="preserve">A need for technical assistance to support the implementation of the oversight of credit unions, based on the amended Credit Union Act, including the impact </w:t>
      </w:r>
    </w:p>
    <w:p w:rsidR="009E705E" w:rsidRDefault="009E705E" w:rsidP="008A7CD6">
      <w:pPr>
        <w:spacing w:after="200" w:line="276" w:lineRule="auto"/>
        <w:jc w:val="both"/>
        <w:rPr>
          <w:rFonts w:asciiTheme="minorHAnsi" w:hAnsiTheme="minorHAnsi" w:cstheme="minorHAnsi"/>
          <w:sz w:val="20"/>
          <w:szCs w:val="20"/>
        </w:rPr>
      </w:pPr>
    </w:p>
    <w:p w:rsidR="009E705E" w:rsidRDefault="009E705E" w:rsidP="008A7CD6">
      <w:pPr>
        <w:spacing w:after="200" w:line="276" w:lineRule="auto"/>
        <w:jc w:val="both"/>
        <w:rPr>
          <w:rFonts w:asciiTheme="minorHAnsi" w:hAnsiTheme="minorHAnsi" w:cstheme="minorHAnsi"/>
          <w:sz w:val="20"/>
          <w:szCs w:val="20"/>
        </w:rPr>
      </w:pPr>
    </w:p>
    <w:p w:rsidR="009E705E" w:rsidRDefault="009E705E" w:rsidP="008A7CD6">
      <w:pPr>
        <w:spacing w:after="200" w:line="276" w:lineRule="auto"/>
        <w:jc w:val="both"/>
        <w:rPr>
          <w:rFonts w:asciiTheme="minorHAnsi" w:hAnsiTheme="minorHAnsi" w:cstheme="minorHAnsi"/>
          <w:sz w:val="20"/>
          <w:szCs w:val="20"/>
        </w:rPr>
      </w:pPr>
    </w:p>
    <w:p w:rsidR="009E705E" w:rsidRDefault="009E705E" w:rsidP="008A7CD6">
      <w:pPr>
        <w:spacing w:after="200" w:line="276" w:lineRule="auto"/>
        <w:jc w:val="both"/>
        <w:rPr>
          <w:rFonts w:asciiTheme="minorHAnsi" w:hAnsiTheme="minorHAnsi" w:cstheme="minorHAnsi"/>
          <w:sz w:val="20"/>
          <w:szCs w:val="20"/>
        </w:rPr>
      </w:pPr>
    </w:p>
    <w:p w:rsidR="009E705E" w:rsidRDefault="009E705E" w:rsidP="008A7CD6">
      <w:pPr>
        <w:spacing w:after="200" w:line="276" w:lineRule="auto"/>
        <w:jc w:val="both"/>
        <w:rPr>
          <w:rFonts w:asciiTheme="minorHAnsi" w:hAnsiTheme="minorHAnsi" w:cstheme="minorHAnsi"/>
          <w:sz w:val="20"/>
          <w:szCs w:val="20"/>
        </w:rPr>
      </w:pPr>
    </w:p>
    <w:p w:rsidR="008A7CD6" w:rsidRPr="00E22B46" w:rsidRDefault="008A7CD6" w:rsidP="008A7CD6">
      <w:pPr>
        <w:spacing w:after="200" w:line="276" w:lineRule="auto"/>
        <w:jc w:val="both"/>
        <w:rPr>
          <w:rFonts w:asciiTheme="minorHAnsi" w:hAnsiTheme="minorHAnsi" w:cstheme="minorHAnsi"/>
          <w:sz w:val="20"/>
          <w:szCs w:val="20"/>
        </w:rPr>
      </w:pPr>
      <w:proofErr w:type="gramStart"/>
      <w:r w:rsidRPr="00E22B46">
        <w:rPr>
          <w:rFonts w:asciiTheme="minorHAnsi" w:hAnsiTheme="minorHAnsi" w:cstheme="minorHAnsi"/>
          <w:sz w:val="20"/>
          <w:szCs w:val="20"/>
        </w:rPr>
        <w:t>this</w:t>
      </w:r>
      <w:proofErr w:type="gramEnd"/>
      <w:r w:rsidRPr="00E22B46">
        <w:rPr>
          <w:rFonts w:asciiTheme="minorHAnsi" w:hAnsiTheme="minorHAnsi" w:cstheme="minorHAnsi"/>
          <w:sz w:val="20"/>
          <w:szCs w:val="20"/>
        </w:rPr>
        <w:t xml:space="preserve"> will have on the supervision department, will be discussed with the RBV in November during a short mission. </w:t>
      </w:r>
    </w:p>
    <w:p w:rsidR="00636BB8" w:rsidRPr="0003245A" w:rsidRDefault="00636BB8" w:rsidP="00636BB8">
      <w:pPr>
        <w:spacing w:line="276" w:lineRule="auto"/>
        <w:jc w:val="both"/>
        <w:rPr>
          <w:rFonts w:cs="Segoe UI"/>
          <w:b/>
          <w:color w:val="0070C0"/>
          <w:sz w:val="20"/>
          <w:szCs w:val="20"/>
        </w:rPr>
      </w:pPr>
      <w:r w:rsidRPr="002A7868">
        <w:rPr>
          <w:rFonts w:cs="Segoe UI"/>
          <w:b/>
          <w:color w:val="0070C0"/>
          <w:sz w:val="20"/>
          <w:szCs w:val="20"/>
        </w:rPr>
        <w:t>Macroeconomics</w:t>
      </w:r>
    </w:p>
    <w:p w:rsidR="00636BB8" w:rsidRPr="00E22B46" w:rsidRDefault="00364E31" w:rsidP="00636BB8">
      <w:pPr>
        <w:spacing w:line="276" w:lineRule="auto"/>
        <w:jc w:val="both"/>
        <w:rPr>
          <w:rFonts w:asciiTheme="minorHAnsi" w:hAnsiTheme="minorHAnsi" w:cstheme="minorHAnsi"/>
          <w:sz w:val="20"/>
          <w:szCs w:val="20"/>
        </w:rPr>
      </w:pPr>
      <w:r w:rsidRPr="00E22B46">
        <w:rPr>
          <w:rFonts w:asciiTheme="minorHAnsi" w:hAnsiTheme="minorHAnsi" w:cstheme="minorHAnsi"/>
          <w:sz w:val="20"/>
          <w:szCs w:val="20"/>
        </w:rPr>
        <w:t>Support in the macroeconomic analysis area will build on the enhanced economic statistics by using them to assist the Ministry of Finance strengthen its financial programming framework and to deliver training and capacity building to Finance and Central Bank staff.</w:t>
      </w:r>
    </w:p>
    <w:p w:rsidR="00215570" w:rsidRPr="00E22B46" w:rsidRDefault="00215570" w:rsidP="00636BB8">
      <w:pPr>
        <w:jc w:val="both"/>
        <w:rPr>
          <w:rFonts w:asciiTheme="minorHAnsi" w:hAnsiTheme="minorHAnsi" w:cstheme="minorHAnsi"/>
          <w:sz w:val="20"/>
          <w:szCs w:val="20"/>
        </w:rPr>
      </w:pPr>
    </w:p>
    <w:sectPr w:rsidR="00215570" w:rsidRPr="00E22B46" w:rsidSect="004D6EE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08" w:bottom="864" w:left="1008" w:header="0" w:footer="288" w:gutter="0"/>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400" w:rsidRDefault="00991400">
      <w:r>
        <w:separator/>
      </w:r>
    </w:p>
  </w:endnote>
  <w:endnote w:type="continuationSeparator" w:id="0">
    <w:p w:rsidR="00991400" w:rsidRDefault="00991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64" w:rsidRDefault="003E75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64" w:rsidRDefault="003E75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00" w:rsidRDefault="00991400">
    <w:pPr>
      <w:pStyle w:val="Footer"/>
    </w:pPr>
    <w:r>
      <w:rPr>
        <w:noProof/>
      </w:rPr>
      <w:drawing>
        <wp:inline distT="0" distB="0" distL="0" distR="0">
          <wp:extent cx="6473190" cy="676275"/>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46108" cy="68389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400" w:rsidRDefault="00991400">
      <w:r>
        <w:separator/>
      </w:r>
    </w:p>
  </w:footnote>
  <w:footnote w:type="continuationSeparator" w:id="0">
    <w:p w:rsidR="00991400" w:rsidRDefault="00991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00" w:rsidRDefault="00991400">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43.25pt;margin-top:34.6pt;width:108pt;height:25.55pt;z-index:251656192;mso-position-horizontal-relative:page;mso-position-vertical-relative:page" filled="f" stroked="f">
          <v:textbox style="mso-next-textbox:#_x0000_s2050" inset="0,0,0,0">
            <w:txbxContent>
              <w:p w:rsidR="00991400" w:rsidRDefault="00991400" w:rsidP="00366DD0">
                <w:pPr>
                  <w:pStyle w:val="LeftHeader"/>
                </w:pPr>
                <w:r w:rsidRPr="000A61EC">
                  <w:t xml:space="preserve">Page </w:t>
                </w:r>
                <w:fldSimple w:instr=" PAGE  \* MERGEFORMAT ">
                  <w:r>
                    <w:rPr>
                      <w:noProof/>
                    </w:rPr>
                    <w:t>2</w:t>
                  </w:r>
                </w:fldSimple>
              </w:p>
              <w:p w:rsidR="00991400" w:rsidRPr="000A61EC" w:rsidRDefault="00991400" w:rsidP="00366DD0">
                <w:pPr>
                  <w:rPr>
                    <w:rFonts w:ascii="Lucida Sans Unicode" w:hAnsi="Lucida Sans Unicode" w:cs="Lucida Sans Unicode"/>
                    <w:color w:val="666633"/>
                    <w:sz w:val="28"/>
                  </w:rPr>
                </w:pPr>
              </w:p>
            </w:txbxContent>
          </v:textbox>
          <w10:wrap anchorx="page" anchory="page"/>
        </v:shape>
      </w:pict>
    </w:r>
    <w:r>
      <w:rPr>
        <w:noProof/>
      </w:rPr>
      <w:pict>
        <v:shape id="_x0000_s2051" type="#_x0000_t202" style="position:absolute;margin-left:415.35pt;margin-top:39.15pt;width:153pt;height:20pt;z-index:251657216;mso-position-horizontal-relative:page;mso-position-vertical-relative:page" filled="f" stroked="f">
          <v:textbox style="mso-next-textbox:#_x0000_s2051" inset="0,0,0,0">
            <w:txbxContent>
              <w:p w:rsidR="00991400" w:rsidRPr="000A61EC" w:rsidRDefault="00991400" w:rsidP="00366DD0">
                <w:pPr>
                  <w:pStyle w:val="RightHeader"/>
                </w:pPr>
                <w:r w:rsidRPr="00D4434B">
                  <w:t>Newsletter Title</w:t>
                </w:r>
              </w:p>
            </w:txbxContent>
          </v:textbox>
          <w10:wrap anchorx="page" anchory="page"/>
        </v:shape>
      </w:pict>
    </w:r>
    <w:r>
      <w:rPr>
        <w:noProof/>
      </w:rPr>
      <w:pict>
        <v:rect id="_x0000_s2049" style="position:absolute;margin-left:38.15pt;margin-top:34.6pt;width:536.4pt;height:27.25pt;z-index:251655168;mso-position-horizontal-relative:page;mso-position-vertical-relative:page" fillcolor="#c2c2ad"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00" w:rsidRDefault="00991400">
    <w:pPr>
      <w:pStyle w:val="Header"/>
    </w:pPr>
    <w:r>
      <w:rPr>
        <w:noProof/>
      </w:rPr>
      <w:pict>
        <v:shapetype id="_x0000_t202" coordsize="21600,21600" o:spt="202" path="m,l,21600r21600,l21600,xe">
          <v:stroke joinstyle="miter"/>
          <v:path gradientshapeok="t" o:connecttype="rect"/>
        </v:shapetype>
        <v:shape id="_x0000_s2057" type="#_x0000_t202" style="position:absolute;margin-left:450.35pt;margin-top:38.65pt;width:110.05pt;height:24pt;z-index:251659264;mso-position-horizontal-relative:page;mso-position-vertical-relative:page" filled="f" stroked="f">
          <v:textbox style="mso-next-textbox:#_x0000_s2057" inset="0,0,0,0">
            <w:txbxContent>
              <w:p w:rsidR="00991400" w:rsidRPr="00B62FFE" w:rsidRDefault="00991400" w:rsidP="00134B10">
                <w:pPr>
                  <w:pStyle w:val="RightHeader"/>
                  <w:rPr>
                    <w:color w:val="auto"/>
                    <w:sz w:val="24"/>
                  </w:rPr>
                </w:pPr>
                <w:r w:rsidRPr="00B62FFE">
                  <w:rPr>
                    <w:color w:val="auto"/>
                    <w:sz w:val="24"/>
                  </w:rPr>
                  <w:t xml:space="preserve">Page </w:t>
                </w:r>
                <w:r w:rsidRPr="00B62FFE">
                  <w:rPr>
                    <w:color w:val="auto"/>
                    <w:sz w:val="24"/>
                  </w:rPr>
                  <w:fldChar w:fldCharType="begin"/>
                </w:r>
                <w:r w:rsidRPr="00B62FFE">
                  <w:rPr>
                    <w:color w:val="auto"/>
                    <w:sz w:val="24"/>
                  </w:rPr>
                  <w:instrText xml:space="preserve"> PAGE </w:instrText>
                </w:r>
                <w:r w:rsidRPr="00B62FFE">
                  <w:rPr>
                    <w:color w:val="auto"/>
                    <w:sz w:val="24"/>
                  </w:rPr>
                  <w:fldChar w:fldCharType="separate"/>
                </w:r>
                <w:r w:rsidR="003E7564">
                  <w:rPr>
                    <w:noProof/>
                    <w:color w:val="auto"/>
                    <w:sz w:val="24"/>
                  </w:rPr>
                  <w:t>3</w:t>
                </w:r>
                <w:r w:rsidRPr="00B62FFE">
                  <w:rPr>
                    <w:color w:val="auto"/>
                    <w:sz w:val="24"/>
                  </w:rPr>
                  <w:fldChar w:fldCharType="end"/>
                </w:r>
              </w:p>
            </w:txbxContent>
          </v:textbox>
          <w10:wrap anchorx="page" anchory="page"/>
        </v:shape>
      </w:pict>
    </w:r>
    <w:r>
      <w:rPr>
        <w:noProof/>
      </w:rPr>
      <w:pict>
        <v:shape id="_x0000_s2058" type="#_x0000_t202" style="position:absolute;margin-left:51.6pt;margin-top:35.9pt;width:174.75pt;height:24.5pt;z-index:251660288;mso-position-horizontal-relative:page;mso-position-vertical-relative:page" filled="f" stroked="f">
          <v:textbox style="mso-next-textbox:#_x0000_s2058" inset="0,0,0,0">
            <w:txbxContent>
              <w:p w:rsidR="00991400" w:rsidRPr="00180B9C" w:rsidRDefault="00991400" w:rsidP="00134B10">
                <w:pPr>
                  <w:pStyle w:val="LeftHeader"/>
                  <w:rPr>
                    <w:rFonts w:ascii="Trebuchet MS" w:hAnsi="Trebuchet MS"/>
                  </w:rPr>
                </w:pPr>
                <w:r w:rsidRPr="00E93BEF">
                  <w:rPr>
                    <w:b/>
                    <w:color w:val="0070C0"/>
                  </w:rPr>
                  <w:t>PFTAC</w:t>
                </w:r>
                <w:r>
                  <w:t xml:space="preserve"> </w:t>
                </w:r>
                <w:r>
                  <w:rPr>
                    <w:rFonts w:ascii="Trebuchet MS" w:hAnsi="Trebuchet MS"/>
                    <w:b/>
                    <w:color w:val="009A46"/>
                  </w:rPr>
                  <w:t>Pacific</w:t>
                </w:r>
                <w:r w:rsidRPr="00180B9C">
                  <w:rPr>
                    <w:rFonts w:ascii="Trebuchet MS" w:hAnsi="Trebuchet MS"/>
                    <w:b/>
                    <w:color w:val="009A46"/>
                  </w:rPr>
                  <w:t xml:space="preserve"> Report</w:t>
                </w:r>
              </w:p>
              <w:p w:rsidR="00991400" w:rsidRPr="000B49FE" w:rsidRDefault="00991400" w:rsidP="00134B10">
                <w:pPr>
                  <w:rPr>
                    <w:rFonts w:ascii="Lucida Sans Unicode" w:hAnsi="Lucida Sans Unicode" w:cs="Lucida Sans Unicode"/>
                    <w:color w:val="666633"/>
                    <w:sz w:val="28"/>
                  </w:rPr>
                </w:pPr>
              </w:p>
            </w:txbxContent>
          </v:textbox>
          <w10:wrap anchorx="page" anchory="page"/>
        </v:shape>
      </w:pict>
    </w:r>
    <w:r>
      <w:rPr>
        <w:noProof/>
      </w:rPr>
      <w:pict>
        <v:rect id="_x0000_s2056" style="position:absolute;margin-left:51.6pt;margin-top:34.55pt;width:536.4pt;height:28.8pt;z-index:251658240;mso-position-horizontal-relative:page;mso-position-vertical-relative:page" filled="f" fillcolor="#c2c2ad" stroked="f">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00" w:rsidRDefault="00991400">
    <w:pPr>
      <w:pStyle w:val="Header"/>
    </w:pPr>
  </w:p>
  <w:p w:rsidR="00991400" w:rsidRDefault="00991400">
    <w:pPr>
      <w:pStyle w:val="Header"/>
    </w:pPr>
    <w:r>
      <w:rPr>
        <w:noProof/>
      </w:rPr>
      <w:pict>
        <v:shapetype id="_x0000_t202" coordsize="21600,21600" o:spt="202" path="m,l,21600r21600,l21600,xe">
          <v:stroke joinstyle="miter"/>
          <v:path gradientshapeok="t" o:connecttype="rect"/>
        </v:shapetype>
        <v:shape id="_x0000_s2061" type="#_x0000_t202" style="position:absolute;margin-left:-15.7pt;margin-top:2.95pt;width:466.1pt;height:145.85pt;z-index:251661312;mso-width-relative:margin;mso-height-relative:margin" filled="f" stroked="f">
          <v:textbox style="mso-next-textbox:#_x0000_s2061">
            <w:txbxContent>
              <w:p w:rsidR="00991400" w:rsidRPr="00364033" w:rsidRDefault="00991400" w:rsidP="00DE492F">
                <w:pPr>
                  <w:pStyle w:val="Heading1"/>
                  <w:rPr>
                    <w:b/>
                    <w:smallCaps/>
                    <w:color w:val="0070C0"/>
                    <w:sz w:val="40"/>
                    <w:szCs w:val="40"/>
                  </w:rPr>
                </w:pPr>
                <w:r w:rsidRPr="00364033">
                  <w:rPr>
                    <w:b/>
                    <w:smallCaps/>
                    <w:color w:val="0070C0"/>
                    <w:sz w:val="40"/>
                    <w:szCs w:val="40"/>
                  </w:rPr>
                  <w:t>Pacific Financial Technical Assistance Centre</w:t>
                </w:r>
              </w:p>
              <w:p w:rsidR="00991400" w:rsidRDefault="00991400" w:rsidP="00DE492F">
                <w:pPr>
                  <w:pStyle w:val="Heading1"/>
                  <w:rPr>
                    <w:b/>
                    <w:smallCaps/>
                    <w:color w:val="009A46"/>
                    <w:sz w:val="40"/>
                    <w:szCs w:val="40"/>
                  </w:rPr>
                </w:pPr>
                <w:r w:rsidRPr="00180B9C">
                  <w:rPr>
                    <w:b/>
                    <w:smallCaps/>
                    <w:color w:val="009A46"/>
                    <w:sz w:val="40"/>
                    <w:szCs w:val="40"/>
                  </w:rPr>
                  <w:t>Pacific Report</w:t>
                </w:r>
              </w:p>
              <w:p w:rsidR="00991400" w:rsidRPr="00936866" w:rsidRDefault="00991400" w:rsidP="00DE492F">
                <w:pPr>
                  <w:contextualSpacing/>
                </w:pPr>
              </w:p>
              <w:p w:rsidR="00991400" w:rsidRPr="00936866" w:rsidRDefault="00991400" w:rsidP="00DE492F">
                <w:pPr>
                  <w:rPr>
                    <w:sz w:val="20"/>
                    <w:szCs w:val="20"/>
                  </w:rPr>
                </w:pPr>
                <w:r>
                  <w:rPr>
                    <w:sz w:val="20"/>
                    <w:szCs w:val="20"/>
                  </w:rPr>
                  <w:t>November</w:t>
                </w:r>
                <w:r w:rsidRPr="00936866">
                  <w:rPr>
                    <w:sz w:val="20"/>
                    <w:szCs w:val="20"/>
                  </w:rPr>
                  <w:t xml:space="preserve"> 2013</w:t>
                </w:r>
              </w:p>
              <w:p w:rsidR="00991400" w:rsidRDefault="00991400" w:rsidP="00DE492F">
                <w:pPr>
                  <w:rPr>
                    <w:sz w:val="20"/>
                    <w:szCs w:val="20"/>
                  </w:rPr>
                </w:pPr>
                <w:r w:rsidRPr="00936866">
                  <w:rPr>
                    <w:sz w:val="20"/>
                    <w:szCs w:val="20"/>
                  </w:rPr>
                  <w:t xml:space="preserve">Volume 1, Issue </w:t>
                </w:r>
                <w:r>
                  <w:rPr>
                    <w:sz w:val="20"/>
                    <w:szCs w:val="20"/>
                  </w:rPr>
                  <w:t>5</w:t>
                </w:r>
              </w:p>
              <w:p w:rsidR="00991400" w:rsidRDefault="00991400" w:rsidP="00DE492F">
                <w:pPr>
                  <w:rPr>
                    <w:sz w:val="20"/>
                    <w:szCs w:val="20"/>
                  </w:rPr>
                </w:pPr>
                <w:r w:rsidRPr="00DE492F">
                  <w:rPr>
                    <w:noProof/>
                    <w:sz w:val="20"/>
                    <w:szCs w:val="20"/>
                  </w:rPr>
                  <w:drawing>
                    <wp:inline distT="0" distB="0" distL="0" distR="0">
                      <wp:extent cx="5695950" cy="285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95950" cy="28575"/>
                              </a:xfrm>
                              <a:prstGeom prst="rect">
                                <a:avLst/>
                              </a:prstGeom>
                              <a:noFill/>
                              <a:ln w="9525">
                                <a:noFill/>
                                <a:miter lim="800000"/>
                                <a:headEnd/>
                                <a:tailEnd/>
                              </a:ln>
                            </pic:spPr>
                          </pic:pic>
                        </a:graphicData>
                      </a:graphic>
                    </wp:inline>
                  </w:drawing>
                </w:r>
              </w:p>
              <w:p w:rsidR="00991400" w:rsidRPr="00936866" w:rsidRDefault="00991400" w:rsidP="00DE492F">
                <w:pPr>
                  <w:rPr>
                    <w:sz w:val="20"/>
                    <w:szCs w:val="20"/>
                  </w:rPr>
                </w:pPr>
                <w:r w:rsidRPr="00DE492F">
                  <w:rPr>
                    <w:noProof/>
                    <w:sz w:val="20"/>
                    <w:szCs w:val="20"/>
                  </w:rPr>
                  <w:drawing>
                    <wp:inline distT="0" distB="0" distL="0" distR="0">
                      <wp:extent cx="5667375" cy="352425"/>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667375" cy="352425"/>
                              </a:xfrm>
                              <a:prstGeom prst="rect">
                                <a:avLst/>
                              </a:prstGeom>
                              <a:noFill/>
                              <a:ln w="9525">
                                <a:noFill/>
                                <a:miter lim="800000"/>
                                <a:headEnd/>
                                <a:tailEnd/>
                              </a:ln>
                            </pic:spPr>
                          </pic:pic>
                        </a:graphicData>
                      </a:graphic>
                    </wp:inline>
                  </w:drawing>
                </w:r>
              </w:p>
            </w:txbxContent>
          </v:textbox>
        </v:shape>
      </w:pict>
    </w:r>
    <w:r>
      <w:rPr>
        <w:noProof/>
      </w:rPr>
      <w:pict>
        <v:shape id="_x0000_s2062" type="#_x0000_t202" style="position:absolute;margin-left:442.15pt;margin-top:12.2pt;width:102.5pt;height:117pt;z-index:251662336;mso-width-relative:margin;mso-height-relative:margin" filled="f" stroked="f">
          <v:textbox style="mso-next-textbox:#_x0000_s2062">
            <w:txbxContent>
              <w:p w:rsidR="00991400" w:rsidRDefault="00991400" w:rsidP="00DE492F">
                <w:r>
                  <w:rPr>
                    <w:noProof/>
                  </w:rPr>
                  <w:drawing>
                    <wp:inline distT="0" distB="0" distL="0" distR="0">
                      <wp:extent cx="1028700" cy="1333379"/>
                      <wp:effectExtent l="19050" t="0" r="0" b="0"/>
                      <wp:docPr id="6" name="Picture 114" descr="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3"/>
                              <a:stretch>
                                <a:fillRect/>
                              </a:stretch>
                            </pic:blipFill>
                            <pic:spPr>
                              <a:xfrm>
                                <a:off x="0" y="0"/>
                                <a:ext cx="1033638" cy="1339779"/>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ABEE7E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1"/>
  <w:proofState w:spelling="clean" w:grammar="clean"/>
  <w:attachedTemplate r:id="rId1"/>
  <w:stylePaneFormatFilter w:val="3F01"/>
  <w:defaultTabStop w:val="720"/>
  <w:doNotHyphenateCaps/>
  <w:drawingGridHorizontalSpacing w:val="120"/>
  <w:drawingGridVerticalSpacing w:val="187"/>
  <w:displayHorizontalDrawingGridEvery w:val="0"/>
  <w:displayVerticalDrawingGridEvery w:val="0"/>
  <w:characterSpacingControl w:val="doNotCompress"/>
  <w:hdrShapeDefaults>
    <o:shapedefaults v:ext="edit" spidmax="2066" style="mso-position-horizontal-relative:page;mso-position-vertical-relative:page" fillcolor="#663" stroke="f">
      <v:fill color="#663" rotate="t"/>
      <v:stroke on="f"/>
      <o:colormru v:ext="edit" colors="#135da1,#c2c2ad,#663,#628002,#e6e6de,#c59d39"/>
      <o:colormenu v:ext="edit" fillcolor="none"/>
    </o:shapedefaults>
    <o:shapelayout v:ext="edit">
      <o:idmap v:ext="edit" data="2"/>
    </o:shapelayout>
  </w:hdrShapeDefaults>
  <w:footnotePr>
    <w:footnote w:id="-1"/>
    <w:footnote w:id="0"/>
  </w:footnotePr>
  <w:endnotePr>
    <w:endnote w:id="-1"/>
    <w:endnote w:id="0"/>
  </w:endnotePr>
  <w:compat/>
  <w:rsids>
    <w:rsidRoot w:val="009A7205"/>
    <w:rsid w:val="000011AF"/>
    <w:rsid w:val="00015987"/>
    <w:rsid w:val="0001641D"/>
    <w:rsid w:val="00021EB3"/>
    <w:rsid w:val="00026C3C"/>
    <w:rsid w:val="0003245A"/>
    <w:rsid w:val="00044387"/>
    <w:rsid w:val="00047970"/>
    <w:rsid w:val="00054DD9"/>
    <w:rsid w:val="000575D7"/>
    <w:rsid w:val="0006397F"/>
    <w:rsid w:val="00064570"/>
    <w:rsid w:val="0006485C"/>
    <w:rsid w:val="000751A0"/>
    <w:rsid w:val="000774D7"/>
    <w:rsid w:val="00083BFB"/>
    <w:rsid w:val="00086742"/>
    <w:rsid w:val="000946FD"/>
    <w:rsid w:val="000A3FF4"/>
    <w:rsid w:val="000A61EC"/>
    <w:rsid w:val="000B16D4"/>
    <w:rsid w:val="000B49FE"/>
    <w:rsid w:val="000B587A"/>
    <w:rsid w:val="000B74FB"/>
    <w:rsid w:val="000C5289"/>
    <w:rsid w:val="000C6154"/>
    <w:rsid w:val="000D0D42"/>
    <w:rsid w:val="000D2BAE"/>
    <w:rsid w:val="000D7649"/>
    <w:rsid w:val="000D7BD3"/>
    <w:rsid w:val="000E32BD"/>
    <w:rsid w:val="000E542D"/>
    <w:rsid w:val="000E77B6"/>
    <w:rsid w:val="000F5C4C"/>
    <w:rsid w:val="0010070B"/>
    <w:rsid w:val="001029A5"/>
    <w:rsid w:val="00103BCA"/>
    <w:rsid w:val="00106245"/>
    <w:rsid w:val="001114B4"/>
    <w:rsid w:val="00116342"/>
    <w:rsid w:val="00134B10"/>
    <w:rsid w:val="0013574C"/>
    <w:rsid w:val="001410FB"/>
    <w:rsid w:val="001412E6"/>
    <w:rsid w:val="00145759"/>
    <w:rsid w:val="00146625"/>
    <w:rsid w:val="00154248"/>
    <w:rsid w:val="00180B9C"/>
    <w:rsid w:val="001811A7"/>
    <w:rsid w:val="00187B99"/>
    <w:rsid w:val="001949AD"/>
    <w:rsid w:val="00194E15"/>
    <w:rsid w:val="00197AF3"/>
    <w:rsid w:val="001A4EA5"/>
    <w:rsid w:val="001B7DF6"/>
    <w:rsid w:val="001C6E2D"/>
    <w:rsid w:val="001D7C64"/>
    <w:rsid w:val="001F708C"/>
    <w:rsid w:val="001F79BE"/>
    <w:rsid w:val="002027B1"/>
    <w:rsid w:val="00202928"/>
    <w:rsid w:val="00202FBA"/>
    <w:rsid w:val="00206E15"/>
    <w:rsid w:val="00211113"/>
    <w:rsid w:val="00213814"/>
    <w:rsid w:val="00213DB3"/>
    <w:rsid w:val="002153DC"/>
    <w:rsid w:val="00215570"/>
    <w:rsid w:val="00235B1B"/>
    <w:rsid w:val="00236358"/>
    <w:rsid w:val="00240127"/>
    <w:rsid w:val="00244482"/>
    <w:rsid w:val="00247E07"/>
    <w:rsid w:val="00250C29"/>
    <w:rsid w:val="0025214F"/>
    <w:rsid w:val="0025459B"/>
    <w:rsid w:val="00254F6D"/>
    <w:rsid w:val="00261810"/>
    <w:rsid w:val="00263A4D"/>
    <w:rsid w:val="002721CB"/>
    <w:rsid w:val="00272F4D"/>
    <w:rsid w:val="002763FE"/>
    <w:rsid w:val="002766FB"/>
    <w:rsid w:val="002779F9"/>
    <w:rsid w:val="00287E93"/>
    <w:rsid w:val="0029590B"/>
    <w:rsid w:val="002A3D58"/>
    <w:rsid w:val="002A7868"/>
    <w:rsid w:val="002C0D0E"/>
    <w:rsid w:val="002C1E91"/>
    <w:rsid w:val="002C23EA"/>
    <w:rsid w:val="002C35F7"/>
    <w:rsid w:val="002C43AF"/>
    <w:rsid w:val="002D0DC6"/>
    <w:rsid w:val="002D5B72"/>
    <w:rsid w:val="002E09A3"/>
    <w:rsid w:val="002E10C6"/>
    <w:rsid w:val="002E52E2"/>
    <w:rsid w:val="002E663D"/>
    <w:rsid w:val="002E7397"/>
    <w:rsid w:val="002F3B56"/>
    <w:rsid w:val="002F3BBC"/>
    <w:rsid w:val="00302238"/>
    <w:rsid w:val="00305253"/>
    <w:rsid w:val="003105CD"/>
    <w:rsid w:val="00313658"/>
    <w:rsid w:val="003160C0"/>
    <w:rsid w:val="0032445B"/>
    <w:rsid w:val="00332F11"/>
    <w:rsid w:val="00353109"/>
    <w:rsid w:val="003537B7"/>
    <w:rsid w:val="0035434D"/>
    <w:rsid w:val="00356F3F"/>
    <w:rsid w:val="00364024"/>
    <w:rsid w:val="00364033"/>
    <w:rsid w:val="00364E31"/>
    <w:rsid w:val="00365E98"/>
    <w:rsid w:val="00366DD0"/>
    <w:rsid w:val="00370E54"/>
    <w:rsid w:val="003727B0"/>
    <w:rsid w:val="00373C29"/>
    <w:rsid w:val="003763D1"/>
    <w:rsid w:val="00380B5D"/>
    <w:rsid w:val="00381366"/>
    <w:rsid w:val="00381B0B"/>
    <w:rsid w:val="0039031E"/>
    <w:rsid w:val="00395111"/>
    <w:rsid w:val="0039735D"/>
    <w:rsid w:val="003A20DC"/>
    <w:rsid w:val="003C70CC"/>
    <w:rsid w:val="003D7884"/>
    <w:rsid w:val="003E3F69"/>
    <w:rsid w:val="003E7564"/>
    <w:rsid w:val="003F0C0B"/>
    <w:rsid w:val="003F20A2"/>
    <w:rsid w:val="003F31E4"/>
    <w:rsid w:val="003F3C46"/>
    <w:rsid w:val="003F3DFE"/>
    <w:rsid w:val="00400123"/>
    <w:rsid w:val="00400474"/>
    <w:rsid w:val="0040640B"/>
    <w:rsid w:val="004203BA"/>
    <w:rsid w:val="0042445F"/>
    <w:rsid w:val="00424A9E"/>
    <w:rsid w:val="0043005A"/>
    <w:rsid w:val="004443CD"/>
    <w:rsid w:val="0044561E"/>
    <w:rsid w:val="004636A0"/>
    <w:rsid w:val="0046781A"/>
    <w:rsid w:val="00471D18"/>
    <w:rsid w:val="004759B9"/>
    <w:rsid w:val="00483F51"/>
    <w:rsid w:val="004853DA"/>
    <w:rsid w:val="00486297"/>
    <w:rsid w:val="004879E6"/>
    <w:rsid w:val="004918AE"/>
    <w:rsid w:val="0049198E"/>
    <w:rsid w:val="00495598"/>
    <w:rsid w:val="004A4802"/>
    <w:rsid w:val="004B4A48"/>
    <w:rsid w:val="004C1825"/>
    <w:rsid w:val="004C4D1B"/>
    <w:rsid w:val="004C57D6"/>
    <w:rsid w:val="004D3A41"/>
    <w:rsid w:val="004D4319"/>
    <w:rsid w:val="004D6EEC"/>
    <w:rsid w:val="004E7962"/>
    <w:rsid w:val="004F2929"/>
    <w:rsid w:val="00500475"/>
    <w:rsid w:val="005010EC"/>
    <w:rsid w:val="00503D9F"/>
    <w:rsid w:val="005066B1"/>
    <w:rsid w:val="00510234"/>
    <w:rsid w:val="00511DCB"/>
    <w:rsid w:val="00516F08"/>
    <w:rsid w:val="00517784"/>
    <w:rsid w:val="005209A0"/>
    <w:rsid w:val="00523C4F"/>
    <w:rsid w:val="005274FA"/>
    <w:rsid w:val="00532C8A"/>
    <w:rsid w:val="00534DC9"/>
    <w:rsid w:val="005352D5"/>
    <w:rsid w:val="00536C98"/>
    <w:rsid w:val="00543943"/>
    <w:rsid w:val="0054558F"/>
    <w:rsid w:val="005479F5"/>
    <w:rsid w:val="005503D3"/>
    <w:rsid w:val="00550D7F"/>
    <w:rsid w:val="005520F0"/>
    <w:rsid w:val="00556221"/>
    <w:rsid w:val="00557F55"/>
    <w:rsid w:val="00564E62"/>
    <w:rsid w:val="00577767"/>
    <w:rsid w:val="00583AD5"/>
    <w:rsid w:val="005848F4"/>
    <w:rsid w:val="00591188"/>
    <w:rsid w:val="00594903"/>
    <w:rsid w:val="00595324"/>
    <w:rsid w:val="00595F18"/>
    <w:rsid w:val="0059773B"/>
    <w:rsid w:val="005B617D"/>
    <w:rsid w:val="005B638A"/>
    <w:rsid w:val="005B7866"/>
    <w:rsid w:val="005C494E"/>
    <w:rsid w:val="005D198D"/>
    <w:rsid w:val="005D65DA"/>
    <w:rsid w:val="005D6665"/>
    <w:rsid w:val="005E17E0"/>
    <w:rsid w:val="005E3B2D"/>
    <w:rsid w:val="005F316A"/>
    <w:rsid w:val="0060229A"/>
    <w:rsid w:val="0060438D"/>
    <w:rsid w:val="00615064"/>
    <w:rsid w:val="00615D8B"/>
    <w:rsid w:val="006168FC"/>
    <w:rsid w:val="00616BBF"/>
    <w:rsid w:val="0061714B"/>
    <w:rsid w:val="0062173B"/>
    <w:rsid w:val="006231D4"/>
    <w:rsid w:val="00625CA5"/>
    <w:rsid w:val="00636BB8"/>
    <w:rsid w:val="0063723D"/>
    <w:rsid w:val="00640C04"/>
    <w:rsid w:val="00643ACC"/>
    <w:rsid w:val="00650A18"/>
    <w:rsid w:val="00655C3F"/>
    <w:rsid w:val="006600DA"/>
    <w:rsid w:val="0066091B"/>
    <w:rsid w:val="00661F04"/>
    <w:rsid w:val="00663FF1"/>
    <w:rsid w:val="00665B31"/>
    <w:rsid w:val="00671452"/>
    <w:rsid w:val="0067441E"/>
    <w:rsid w:val="006772FD"/>
    <w:rsid w:val="00682FB0"/>
    <w:rsid w:val="006839B6"/>
    <w:rsid w:val="006855FD"/>
    <w:rsid w:val="00685F8D"/>
    <w:rsid w:val="006902F2"/>
    <w:rsid w:val="00690E40"/>
    <w:rsid w:val="006970FE"/>
    <w:rsid w:val="006A1ECC"/>
    <w:rsid w:val="006A421A"/>
    <w:rsid w:val="006B0550"/>
    <w:rsid w:val="006B405C"/>
    <w:rsid w:val="006B6BA5"/>
    <w:rsid w:val="006B7F1A"/>
    <w:rsid w:val="006C08EB"/>
    <w:rsid w:val="006D5D8B"/>
    <w:rsid w:val="006D64B2"/>
    <w:rsid w:val="006E0451"/>
    <w:rsid w:val="006E267E"/>
    <w:rsid w:val="006E29F9"/>
    <w:rsid w:val="006F6F04"/>
    <w:rsid w:val="006F7AF5"/>
    <w:rsid w:val="00703F31"/>
    <w:rsid w:val="00704922"/>
    <w:rsid w:val="00710035"/>
    <w:rsid w:val="00724279"/>
    <w:rsid w:val="007252DD"/>
    <w:rsid w:val="00734448"/>
    <w:rsid w:val="0074607C"/>
    <w:rsid w:val="007467A7"/>
    <w:rsid w:val="00746A94"/>
    <w:rsid w:val="0076011B"/>
    <w:rsid w:val="00762ECA"/>
    <w:rsid w:val="00777DF3"/>
    <w:rsid w:val="00780835"/>
    <w:rsid w:val="00781010"/>
    <w:rsid w:val="007937C1"/>
    <w:rsid w:val="007951CB"/>
    <w:rsid w:val="007A0A30"/>
    <w:rsid w:val="007A22D5"/>
    <w:rsid w:val="007A3A3B"/>
    <w:rsid w:val="007A4097"/>
    <w:rsid w:val="007A6666"/>
    <w:rsid w:val="007A7805"/>
    <w:rsid w:val="007B0D5C"/>
    <w:rsid w:val="007B4284"/>
    <w:rsid w:val="007D1893"/>
    <w:rsid w:val="007D3A2E"/>
    <w:rsid w:val="007D6A78"/>
    <w:rsid w:val="007E4DF0"/>
    <w:rsid w:val="007E658A"/>
    <w:rsid w:val="007F3422"/>
    <w:rsid w:val="007F3642"/>
    <w:rsid w:val="007F364D"/>
    <w:rsid w:val="007F3E10"/>
    <w:rsid w:val="00803F09"/>
    <w:rsid w:val="008170E6"/>
    <w:rsid w:val="0082400E"/>
    <w:rsid w:val="00831061"/>
    <w:rsid w:val="008330E2"/>
    <w:rsid w:val="00847903"/>
    <w:rsid w:val="00847DFF"/>
    <w:rsid w:val="0085574A"/>
    <w:rsid w:val="0087079B"/>
    <w:rsid w:val="008719CC"/>
    <w:rsid w:val="00871F40"/>
    <w:rsid w:val="00885F5B"/>
    <w:rsid w:val="008A2746"/>
    <w:rsid w:val="008A4CB3"/>
    <w:rsid w:val="008A7CD6"/>
    <w:rsid w:val="008B41EC"/>
    <w:rsid w:val="008C0136"/>
    <w:rsid w:val="008D25E8"/>
    <w:rsid w:val="008D403D"/>
    <w:rsid w:val="008D4743"/>
    <w:rsid w:val="008D49F7"/>
    <w:rsid w:val="008D5295"/>
    <w:rsid w:val="008E3237"/>
    <w:rsid w:val="008E3541"/>
    <w:rsid w:val="008F0BFB"/>
    <w:rsid w:val="008F3F7B"/>
    <w:rsid w:val="008F42B5"/>
    <w:rsid w:val="00911908"/>
    <w:rsid w:val="0091346D"/>
    <w:rsid w:val="0091753D"/>
    <w:rsid w:val="00925D54"/>
    <w:rsid w:val="009266BA"/>
    <w:rsid w:val="00930247"/>
    <w:rsid w:val="0093165E"/>
    <w:rsid w:val="009316B0"/>
    <w:rsid w:val="00935927"/>
    <w:rsid w:val="00936866"/>
    <w:rsid w:val="009372EF"/>
    <w:rsid w:val="00937E7E"/>
    <w:rsid w:val="00946141"/>
    <w:rsid w:val="00960665"/>
    <w:rsid w:val="00961BE6"/>
    <w:rsid w:val="00967D03"/>
    <w:rsid w:val="0097645D"/>
    <w:rsid w:val="00986D35"/>
    <w:rsid w:val="00991400"/>
    <w:rsid w:val="009916DB"/>
    <w:rsid w:val="00995643"/>
    <w:rsid w:val="00995686"/>
    <w:rsid w:val="009A3959"/>
    <w:rsid w:val="009A4EA4"/>
    <w:rsid w:val="009A7205"/>
    <w:rsid w:val="009A7FEB"/>
    <w:rsid w:val="009B1D56"/>
    <w:rsid w:val="009B2BDE"/>
    <w:rsid w:val="009B3CB2"/>
    <w:rsid w:val="009C1EF9"/>
    <w:rsid w:val="009C4C67"/>
    <w:rsid w:val="009C5B3B"/>
    <w:rsid w:val="009C5EC3"/>
    <w:rsid w:val="009C7E03"/>
    <w:rsid w:val="009D206A"/>
    <w:rsid w:val="009D4169"/>
    <w:rsid w:val="009E591D"/>
    <w:rsid w:val="009E705E"/>
    <w:rsid w:val="009F437E"/>
    <w:rsid w:val="009F69D4"/>
    <w:rsid w:val="009F77DE"/>
    <w:rsid w:val="009F7F16"/>
    <w:rsid w:val="00A020E9"/>
    <w:rsid w:val="00A1008D"/>
    <w:rsid w:val="00A107A1"/>
    <w:rsid w:val="00A10ACF"/>
    <w:rsid w:val="00A16BC0"/>
    <w:rsid w:val="00A21629"/>
    <w:rsid w:val="00A22904"/>
    <w:rsid w:val="00A2368D"/>
    <w:rsid w:val="00A23E1C"/>
    <w:rsid w:val="00A24C3F"/>
    <w:rsid w:val="00A25110"/>
    <w:rsid w:val="00A259D7"/>
    <w:rsid w:val="00A277D9"/>
    <w:rsid w:val="00A27E71"/>
    <w:rsid w:val="00A31A43"/>
    <w:rsid w:val="00A408C8"/>
    <w:rsid w:val="00A41671"/>
    <w:rsid w:val="00A431C5"/>
    <w:rsid w:val="00A44B25"/>
    <w:rsid w:val="00A44CBD"/>
    <w:rsid w:val="00A53E93"/>
    <w:rsid w:val="00A5532E"/>
    <w:rsid w:val="00A616D1"/>
    <w:rsid w:val="00A669A3"/>
    <w:rsid w:val="00A74976"/>
    <w:rsid w:val="00A759B4"/>
    <w:rsid w:val="00A76B6E"/>
    <w:rsid w:val="00A81E84"/>
    <w:rsid w:val="00A82112"/>
    <w:rsid w:val="00A82B64"/>
    <w:rsid w:val="00A93769"/>
    <w:rsid w:val="00A95078"/>
    <w:rsid w:val="00A951D5"/>
    <w:rsid w:val="00AB64C4"/>
    <w:rsid w:val="00AB797A"/>
    <w:rsid w:val="00AC52EE"/>
    <w:rsid w:val="00AC649D"/>
    <w:rsid w:val="00AC7ED8"/>
    <w:rsid w:val="00AE1000"/>
    <w:rsid w:val="00AE22F6"/>
    <w:rsid w:val="00AE3686"/>
    <w:rsid w:val="00AF2B78"/>
    <w:rsid w:val="00AF2E04"/>
    <w:rsid w:val="00AF59EE"/>
    <w:rsid w:val="00B10E8F"/>
    <w:rsid w:val="00B11743"/>
    <w:rsid w:val="00B150F7"/>
    <w:rsid w:val="00B21C98"/>
    <w:rsid w:val="00B250E1"/>
    <w:rsid w:val="00B333CE"/>
    <w:rsid w:val="00B34902"/>
    <w:rsid w:val="00B35E6F"/>
    <w:rsid w:val="00B411E2"/>
    <w:rsid w:val="00B47120"/>
    <w:rsid w:val="00B5286C"/>
    <w:rsid w:val="00B52EF4"/>
    <w:rsid w:val="00B550A8"/>
    <w:rsid w:val="00B576DF"/>
    <w:rsid w:val="00B60CB0"/>
    <w:rsid w:val="00B62FFE"/>
    <w:rsid w:val="00B63EAC"/>
    <w:rsid w:val="00B649D5"/>
    <w:rsid w:val="00B7204C"/>
    <w:rsid w:val="00B77921"/>
    <w:rsid w:val="00B8198C"/>
    <w:rsid w:val="00B86142"/>
    <w:rsid w:val="00B86F94"/>
    <w:rsid w:val="00B96370"/>
    <w:rsid w:val="00BA06EC"/>
    <w:rsid w:val="00BA6838"/>
    <w:rsid w:val="00BA7E32"/>
    <w:rsid w:val="00BB0C67"/>
    <w:rsid w:val="00BB17BD"/>
    <w:rsid w:val="00BB3BE2"/>
    <w:rsid w:val="00BB4261"/>
    <w:rsid w:val="00BB78A5"/>
    <w:rsid w:val="00BB7A6F"/>
    <w:rsid w:val="00BC3614"/>
    <w:rsid w:val="00BC621A"/>
    <w:rsid w:val="00BC6D92"/>
    <w:rsid w:val="00BD02E1"/>
    <w:rsid w:val="00BD2D88"/>
    <w:rsid w:val="00BD3C2D"/>
    <w:rsid w:val="00BE302D"/>
    <w:rsid w:val="00BF19C5"/>
    <w:rsid w:val="00C008B8"/>
    <w:rsid w:val="00C026EC"/>
    <w:rsid w:val="00C056C8"/>
    <w:rsid w:val="00C220C5"/>
    <w:rsid w:val="00C267F4"/>
    <w:rsid w:val="00C325E1"/>
    <w:rsid w:val="00C32ADA"/>
    <w:rsid w:val="00C33252"/>
    <w:rsid w:val="00C40E79"/>
    <w:rsid w:val="00C5283A"/>
    <w:rsid w:val="00C644EA"/>
    <w:rsid w:val="00C6512E"/>
    <w:rsid w:val="00C7673C"/>
    <w:rsid w:val="00C80EC0"/>
    <w:rsid w:val="00C82669"/>
    <w:rsid w:val="00C86BA5"/>
    <w:rsid w:val="00C87C32"/>
    <w:rsid w:val="00CA0C88"/>
    <w:rsid w:val="00CB2D15"/>
    <w:rsid w:val="00CB73B4"/>
    <w:rsid w:val="00CC0C24"/>
    <w:rsid w:val="00CC39A1"/>
    <w:rsid w:val="00CD0415"/>
    <w:rsid w:val="00CD11F8"/>
    <w:rsid w:val="00CD52C4"/>
    <w:rsid w:val="00CD6491"/>
    <w:rsid w:val="00CD7EC0"/>
    <w:rsid w:val="00CE3E3A"/>
    <w:rsid w:val="00CE470C"/>
    <w:rsid w:val="00CE5A11"/>
    <w:rsid w:val="00CE6C4F"/>
    <w:rsid w:val="00CF2B5F"/>
    <w:rsid w:val="00CF5299"/>
    <w:rsid w:val="00CF5761"/>
    <w:rsid w:val="00CF6DC6"/>
    <w:rsid w:val="00D01F32"/>
    <w:rsid w:val="00D034D9"/>
    <w:rsid w:val="00D07AD8"/>
    <w:rsid w:val="00D10D75"/>
    <w:rsid w:val="00D12BCC"/>
    <w:rsid w:val="00D167FC"/>
    <w:rsid w:val="00D16BC2"/>
    <w:rsid w:val="00D23E70"/>
    <w:rsid w:val="00D25084"/>
    <w:rsid w:val="00D25B9B"/>
    <w:rsid w:val="00D30F25"/>
    <w:rsid w:val="00D33014"/>
    <w:rsid w:val="00D33132"/>
    <w:rsid w:val="00D34292"/>
    <w:rsid w:val="00D3758A"/>
    <w:rsid w:val="00D37B9B"/>
    <w:rsid w:val="00D4434B"/>
    <w:rsid w:val="00D4762C"/>
    <w:rsid w:val="00D561B4"/>
    <w:rsid w:val="00D61A05"/>
    <w:rsid w:val="00D66A53"/>
    <w:rsid w:val="00D706A6"/>
    <w:rsid w:val="00D70F50"/>
    <w:rsid w:val="00D720AB"/>
    <w:rsid w:val="00D7230A"/>
    <w:rsid w:val="00D748D6"/>
    <w:rsid w:val="00D753C7"/>
    <w:rsid w:val="00D86256"/>
    <w:rsid w:val="00D93FCF"/>
    <w:rsid w:val="00D94397"/>
    <w:rsid w:val="00DA440D"/>
    <w:rsid w:val="00DA5A75"/>
    <w:rsid w:val="00DA7D12"/>
    <w:rsid w:val="00DB4EFF"/>
    <w:rsid w:val="00DB6599"/>
    <w:rsid w:val="00DB722F"/>
    <w:rsid w:val="00DC024E"/>
    <w:rsid w:val="00DC049C"/>
    <w:rsid w:val="00DC3DBB"/>
    <w:rsid w:val="00DE1422"/>
    <w:rsid w:val="00DE16AE"/>
    <w:rsid w:val="00DE1ADA"/>
    <w:rsid w:val="00DE3ACB"/>
    <w:rsid w:val="00DE492F"/>
    <w:rsid w:val="00DE68B8"/>
    <w:rsid w:val="00DE76EC"/>
    <w:rsid w:val="00DF3187"/>
    <w:rsid w:val="00DF589E"/>
    <w:rsid w:val="00DF754D"/>
    <w:rsid w:val="00E02175"/>
    <w:rsid w:val="00E029FE"/>
    <w:rsid w:val="00E07D61"/>
    <w:rsid w:val="00E17126"/>
    <w:rsid w:val="00E172AA"/>
    <w:rsid w:val="00E22B46"/>
    <w:rsid w:val="00E236DA"/>
    <w:rsid w:val="00E25FEB"/>
    <w:rsid w:val="00E334B3"/>
    <w:rsid w:val="00E336A0"/>
    <w:rsid w:val="00E33E6B"/>
    <w:rsid w:val="00E36889"/>
    <w:rsid w:val="00E378CE"/>
    <w:rsid w:val="00E50B9E"/>
    <w:rsid w:val="00E518B9"/>
    <w:rsid w:val="00E51F57"/>
    <w:rsid w:val="00E52FD3"/>
    <w:rsid w:val="00E5384B"/>
    <w:rsid w:val="00E56E2D"/>
    <w:rsid w:val="00E6058B"/>
    <w:rsid w:val="00E67599"/>
    <w:rsid w:val="00E74590"/>
    <w:rsid w:val="00E76A98"/>
    <w:rsid w:val="00E779A8"/>
    <w:rsid w:val="00E804C1"/>
    <w:rsid w:val="00E865B6"/>
    <w:rsid w:val="00E9173E"/>
    <w:rsid w:val="00E939EA"/>
    <w:rsid w:val="00E93BEF"/>
    <w:rsid w:val="00EA29C1"/>
    <w:rsid w:val="00EA3932"/>
    <w:rsid w:val="00EA4B8A"/>
    <w:rsid w:val="00EB51AA"/>
    <w:rsid w:val="00EB7118"/>
    <w:rsid w:val="00EC3FEA"/>
    <w:rsid w:val="00ED14D1"/>
    <w:rsid w:val="00ED1980"/>
    <w:rsid w:val="00ED366A"/>
    <w:rsid w:val="00ED3A0F"/>
    <w:rsid w:val="00ED702C"/>
    <w:rsid w:val="00EE4F4C"/>
    <w:rsid w:val="00EE706F"/>
    <w:rsid w:val="00EF445E"/>
    <w:rsid w:val="00EF5A7B"/>
    <w:rsid w:val="00F053F3"/>
    <w:rsid w:val="00F05C15"/>
    <w:rsid w:val="00F11B42"/>
    <w:rsid w:val="00F27C09"/>
    <w:rsid w:val="00F33D94"/>
    <w:rsid w:val="00F340E7"/>
    <w:rsid w:val="00F40175"/>
    <w:rsid w:val="00F40606"/>
    <w:rsid w:val="00F430D7"/>
    <w:rsid w:val="00F44948"/>
    <w:rsid w:val="00F44CA0"/>
    <w:rsid w:val="00F47DB9"/>
    <w:rsid w:val="00F51A7F"/>
    <w:rsid w:val="00F52142"/>
    <w:rsid w:val="00F526BB"/>
    <w:rsid w:val="00F53814"/>
    <w:rsid w:val="00F57571"/>
    <w:rsid w:val="00F6332D"/>
    <w:rsid w:val="00F66709"/>
    <w:rsid w:val="00F67668"/>
    <w:rsid w:val="00F724B8"/>
    <w:rsid w:val="00F75C5E"/>
    <w:rsid w:val="00F81C77"/>
    <w:rsid w:val="00F869FF"/>
    <w:rsid w:val="00F9214D"/>
    <w:rsid w:val="00FA28AA"/>
    <w:rsid w:val="00FA43CB"/>
    <w:rsid w:val="00FA5032"/>
    <w:rsid w:val="00FA6B04"/>
    <w:rsid w:val="00FB0F6B"/>
    <w:rsid w:val="00FB2E72"/>
    <w:rsid w:val="00FC2945"/>
    <w:rsid w:val="00FC56C6"/>
    <w:rsid w:val="00FC698B"/>
    <w:rsid w:val="00FD609B"/>
    <w:rsid w:val="00FD79CA"/>
    <w:rsid w:val="00FE22C3"/>
    <w:rsid w:val="00FE3857"/>
    <w:rsid w:val="00FE7A8C"/>
    <w:rsid w:val="00FF6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style="mso-position-horizontal-relative:page;mso-position-vertical-relative:page" fillcolor="#663" stroke="f">
      <v:fill color="#663" rotate="t"/>
      <v:stroke on="f"/>
      <o:colormru v:ext="edit" colors="#135da1,#c2c2ad,#663,#628002,#e6e6de,#c59d39"/>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79CA"/>
    <w:rPr>
      <w:color w:val="0000FF"/>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link w:val="BodyTextIndentChar"/>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table" w:styleId="TableGrid">
    <w:name w:val="Table Grid"/>
    <w:basedOn w:val="TableNormal"/>
    <w:rsid w:val="00A53E9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BodyTextIndentChar">
    <w:name w:val="Body Text Indent Char"/>
    <w:basedOn w:val="DefaultParagraphFont"/>
    <w:link w:val="BodyTextIndent"/>
    <w:rsid w:val="00A53E93"/>
    <w:rPr>
      <w:rFonts w:ascii="Trebuchet MS" w:eastAsia="Times New Roman" w:hAnsi="Trebuchet MS"/>
      <w:color w:val="666633"/>
      <w:sz w:val="16"/>
      <w:szCs w:val="16"/>
    </w:rPr>
  </w:style>
  <w:style w:type="character" w:customStyle="1" w:styleId="Heading1Char">
    <w:name w:val="Heading 1 Char"/>
    <w:basedOn w:val="DefaultParagraphFont"/>
    <w:link w:val="Heading1"/>
    <w:rsid w:val="00DE492F"/>
    <w:rPr>
      <w:rFonts w:ascii="Lucida Sans Unicode" w:eastAsia="Times New Roman" w:hAnsi="Lucida Sans Unicode" w:cs="Lucida Sans Unicode"/>
      <w:color w:val="454422"/>
      <w:sz w:val="36"/>
      <w:szCs w:val="36"/>
    </w:rPr>
  </w:style>
  <w:style w:type="paragraph" w:styleId="ListBullet">
    <w:name w:val="List Bullet"/>
    <w:basedOn w:val="Normal"/>
    <w:rsid w:val="002D5B72"/>
    <w:pPr>
      <w:numPr>
        <w:numId w:val="3"/>
      </w:numPr>
      <w:contextualSpacing/>
    </w:pPr>
  </w:style>
  <w:style w:type="character" w:styleId="FollowedHyperlink">
    <w:name w:val="FollowedHyperlink"/>
    <w:basedOn w:val="DefaultParagraphFont"/>
    <w:rsid w:val="005F31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280868284">
      <w:bodyDiv w:val="1"/>
      <w:marLeft w:val="0"/>
      <w:marRight w:val="0"/>
      <w:marTop w:val="0"/>
      <w:marBottom w:val="0"/>
      <w:divBdr>
        <w:top w:val="none" w:sz="0" w:space="0" w:color="auto"/>
        <w:left w:val="none" w:sz="0" w:space="0" w:color="auto"/>
        <w:bottom w:val="none" w:sz="0" w:space="0" w:color="auto"/>
        <w:right w:val="none" w:sz="0" w:space="0" w:color="auto"/>
      </w:divBdr>
    </w:div>
    <w:div w:id="1542202946">
      <w:bodyDiv w:val="1"/>
      <w:marLeft w:val="0"/>
      <w:marRight w:val="0"/>
      <w:marTop w:val="0"/>
      <w:marBottom w:val="0"/>
      <w:divBdr>
        <w:top w:val="none" w:sz="0" w:space="0" w:color="auto"/>
        <w:left w:val="none" w:sz="0" w:space="0" w:color="auto"/>
        <w:bottom w:val="none" w:sz="0" w:space="0" w:color="auto"/>
        <w:right w:val="none" w:sz="0" w:space="0" w:color="auto"/>
      </w:divBdr>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9481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ta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mf.org/external/np/seminars/eng/2013/pic/index.ht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ger\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1DDD6-90F7-437C-AC85-3DAD340D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newsletter.dot</Template>
  <TotalTime>105</TotalTime>
  <Pages>3</Pages>
  <Words>1399</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sroger</dc:creator>
  <cp:lastModifiedBy>sroger</cp:lastModifiedBy>
  <cp:revision>7</cp:revision>
  <cp:lastPrinted>2013-11-24T23:13:00Z</cp:lastPrinted>
  <dcterms:created xsi:type="dcterms:W3CDTF">2013-12-02T00:50:00Z</dcterms:created>
  <dcterms:modified xsi:type="dcterms:W3CDTF">2013-12-02T03:19:00Z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y fmtid="{D5CDD505-2E9C-101B-9397-08002B2CF9AE}" pid="4" name="_NewReviewCycle">
    <vt:lpwstr/>
  </property>
</Properties>
</file>